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результатах контрольн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sz w:val="28"/>
          <w:szCs w:val="28"/>
        </w:rPr>
        <w:t xml:space="preserve">я</w:t>
      </w:r>
      <w:r>
        <w:rPr>
          <w:rFonts w:ascii="Times New Roman" w:hAnsi="Times New Roman" w:cs="Times New Roman"/>
          <w:b/>
          <w:sz w:val="28"/>
          <w:szCs w:val="28"/>
        </w:rPr>
        <w:t xml:space="preserve">, проведенн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Курганской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в отношении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Некоммерческой организации «Региональный фонд капитального ремонта многоквартирных домов Курганской области»</w:t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Некоммерческая организация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«Региональный фонд капитального ремонта многоквартирных домов Курганской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Приказ 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Управления Федерального казначейства по Курганской области (далее – УФК по Курганской области)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от 06.05.2026 № 181 «О назначении плановой выездной проверки Некоммерческой организации «Региональный фонд капитального ремонта многоквартирных домов Курганской области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»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Плановая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ыездная проверка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роверк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2024-2025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12.05.2026 по 06.07.2026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становлены нарушения Жилищного кодекса Российской Федерации и иных нормативных правовых актов при организации проведения капитального ремонта общего имущества в многоквартирных домах; нарушения порядка ведения бухгалтерского учета, а также факты недостоверной отчетности по реализации краткосрочных планов, предоставленной в Минстрой России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контрольного мероприятия будут рассмотрены на предстоящем заседании Контрольной комиссии УФК по Курганской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dale Sans UI">
    <w:panose1 w:val="020B0603020203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Аноним</cp:lastModifiedBy>
  <cp:revision>3</cp:revision>
  <dcterms:created xsi:type="dcterms:W3CDTF">2026-07-08T06:04:00Z</dcterms:created>
  <dcterms:modified xsi:type="dcterms:W3CDTF">2026-07-10T08:43:28Z</dcterms:modified>
</cp:coreProperties>
</file>