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D1" w:rsidRPr="00B93BD1" w:rsidRDefault="0064345A" w:rsidP="00B93BD1">
      <w:pPr>
        <w:ind w:left="-426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64345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3BD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4554BA3" wp14:editId="67439FD4">
            <wp:extent cx="7905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2948"/>
        <w:gridCol w:w="3715"/>
        <w:gridCol w:w="3260"/>
      </w:tblGrid>
      <w:tr w:rsidR="00B93BD1" w:rsidRPr="00B93BD1" w:rsidTr="00FB2C6B">
        <w:trPr>
          <w:trHeight w:val="1883"/>
        </w:trPr>
        <w:tc>
          <w:tcPr>
            <w:tcW w:w="9923" w:type="dxa"/>
            <w:gridSpan w:val="3"/>
            <w:shd w:val="clear" w:color="auto" w:fill="auto"/>
          </w:tcPr>
          <w:p w:rsidR="00B93BD1" w:rsidRPr="00B93BD1" w:rsidRDefault="00B93BD1" w:rsidP="00B93BD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62AC"/>
                <w:sz w:val="12"/>
                <w:szCs w:val="12"/>
                <w:lang w:eastAsia="ru-RU"/>
              </w:rPr>
            </w:pPr>
          </w:p>
          <w:p w:rsidR="00B93BD1" w:rsidRPr="00B93BD1" w:rsidRDefault="00B93BD1" w:rsidP="00B93BD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62AC"/>
                <w:lang w:eastAsia="ru-RU"/>
              </w:rPr>
            </w:pPr>
            <w:r w:rsidRPr="00B93BD1">
              <w:rPr>
                <w:rFonts w:ascii="Times New Roman" w:eastAsia="Times New Roman" w:hAnsi="Times New Roman" w:cs="Times New Roman"/>
                <w:color w:val="0062AC"/>
                <w:lang w:eastAsia="ru-RU"/>
              </w:rPr>
              <w:t>МИНИСТЕРСТВО ФИНАНСОВ РОССИЙСКОЙ ФЕДЕРАЦИИ</w:t>
            </w:r>
          </w:p>
          <w:p w:rsidR="00B93BD1" w:rsidRPr="00B93BD1" w:rsidRDefault="00B93BD1" w:rsidP="00B93BD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62AC"/>
                <w:sz w:val="18"/>
                <w:szCs w:val="18"/>
                <w:lang w:eastAsia="ru-RU"/>
              </w:rPr>
            </w:pPr>
          </w:p>
          <w:p w:rsidR="00B93BD1" w:rsidRPr="00B93BD1" w:rsidRDefault="00B93BD1" w:rsidP="00B93BD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62AC"/>
                <w:spacing w:val="24"/>
                <w:sz w:val="32"/>
                <w:szCs w:val="32"/>
                <w:lang w:eastAsia="ru-RU"/>
              </w:rPr>
            </w:pPr>
            <w:r w:rsidRPr="00B93BD1">
              <w:rPr>
                <w:rFonts w:ascii="Times New Roman" w:eastAsia="Times New Roman" w:hAnsi="Times New Roman" w:cs="Times New Roman"/>
                <w:b/>
                <w:color w:val="0062AC"/>
                <w:spacing w:val="24"/>
                <w:sz w:val="32"/>
                <w:szCs w:val="32"/>
                <w:lang w:eastAsia="ru-RU"/>
              </w:rPr>
              <w:t>ФЕДЕРАЛЬНОЕ КАЗНАЧЕЙСТВО</w:t>
            </w:r>
          </w:p>
          <w:p w:rsidR="00B93BD1" w:rsidRPr="00B93BD1" w:rsidRDefault="00B93BD1" w:rsidP="00B93BD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62AC"/>
                <w:sz w:val="26"/>
                <w:szCs w:val="26"/>
                <w:lang w:eastAsia="ru-RU"/>
              </w:rPr>
            </w:pPr>
            <w:r w:rsidRPr="00B93BD1">
              <w:rPr>
                <w:rFonts w:ascii="Times New Roman" w:eastAsia="Times New Roman" w:hAnsi="Times New Roman" w:cs="Times New Roman"/>
                <w:color w:val="0062AC"/>
                <w:sz w:val="26"/>
                <w:szCs w:val="26"/>
                <w:lang w:eastAsia="ru-RU"/>
              </w:rPr>
              <w:t>(КАЗНАЧЕЙСТВО РОССИИ)</w:t>
            </w:r>
          </w:p>
          <w:p w:rsidR="00B93BD1" w:rsidRPr="00B93BD1" w:rsidRDefault="00B93BD1" w:rsidP="00B93BD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62AC"/>
                <w:sz w:val="24"/>
                <w:szCs w:val="24"/>
                <w:lang w:eastAsia="ru-RU"/>
              </w:rPr>
            </w:pPr>
          </w:p>
          <w:p w:rsidR="00B93BD1" w:rsidRPr="00B93BD1" w:rsidRDefault="00B93BD1" w:rsidP="00B93BD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62AC"/>
                <w:sz w:val="26"/>
                <w:szCs w:val="26"/>
                <w:lang w:eastAsia="ru-RU"/>
              </w:rPr>
            </w:pPr>
            <w:r w:rsidRPr="00B93BD1">
              <w:rPr>
                <w:rFonts w:ascii="Times New Roman" w:eastAsia="Times New Roman" w:hAnsi="Times New Roman" w:cs="Times New Roman"/>
                <w:b/>
                <w:color w:val="0062AC"/>
                <w:spacing w:val="24"/>
                <w:sz w:val="32"/>
                <w:szCs w:val="32"/>
                <w:lang w:eastAsia="ru-RU"/>
              </w:rPr>
              <w:t>ПРИКАЗ</w:t>
            </w:r>
          </w:p>
        </w:tc>
      </w:tr>
      <w:tr w:rsidR="00B93BD1" w:rsidRPr="00B93BD1" w:rsidTr="00FB2C6B">
        <w:trPr>
          <w:trHeight w:val="506"/>
        </w:trPr>
        <w:tc>
          <w:tcPr>
            <w:tcW w:w="2948" w:type="dxa"/>
            <w:tcBorders>
              <w:bottom w:val="single" w:sz="4" w:space="0" w:color="1F497D"/>
            </w:tcBorders>
            <w:shd w:val="clear" w:color="auto" w:fill="auto"/>
            <w:vAlign w:val="bottom"/>
          </w:tcPr>
          <w:p w:rsidR="00B93BD1" w:rsidRPr="00B93BD1" w:rsidRDefault="005A60B3" w:rsidP="00B93BD1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 2021 г.</w:t>
            </w:r>
          </w:p>
        </w:tc>
        <w:tc>
          <w:tcPr>
            <w:tcW w:w="3715" w:type="dxa"/>
            <w:shd w:val="clear" w:color="auto" w:fill="auto"/>
            <w:vAlign w:val="bottom"/>
          </w:tcPr>
          <w:p w:rsidR="00B93BD1" w:rsidRPr="00B93BD1" w:rsidRDefault="00B93BD1" w:rsidP="00B93BD1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color w:val="0062AC"/>
                <w:sz w:val="24"/>
                <w:szCs w:val="24"/>
                <w:lang w:eastAsia="ru-RU"/>
              </w:rPr>
            </w:pPr>
            <w:r w:rsidRPr="00B93BD1">
              <w:rPr>
                <w:rFonts w:ascii="Times New Roman" w:eastAsia="Times New Roman" w:hAnsi="Times New Roman" w:cs="Times New Roman"/>
                <w:color w:val="0062AC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bottom w:val="single" w:sz="4" w:space="0" w:color="1F497D"/>
            </w:tcBorders>
            <w:shd w:val="clear" w:color="auto" w:fill="auto"/>
            <w:vAlign w:val="bottom"/>
          </w:tcPr>
          <w:p w:rsidR="00B93BD1" w:rsidRPr="00B93BD1" w:rsidRDefault="005A60B3" w:rsidP="00B93BD1">
            <w:pPr>
              <w:spacing w:after="0" w:line="360" w:lineRule="atLeast"/>
              <w:ind w:left="-108"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</w:tr>
    </w:tbl>
    <w:p w:rsidR="00B93BD1" w:rsidRPr="00B93BD1" w:rsidRDefault="00B93BD1" w:rsidP="00B93BD1">
      <w:pPr>
        <w:spacing w:after="0" w:line="360" w:lineRule="atLeast"/>
        <w:ind w:left="-567"/>
        <w:jc w:val="center"/>
        <w:rPr>
          <w:rFonts w:ascii="Times New Roman" w:eastAsia="Times New Roman" w:hAnsi="Times New Roman" w:cs="Times New Roman"/>
          <w:color w:val="0062AC"/>
          <w:lang w:eastAsia="ru-RU"/>
        </w:rPr>
      </w:pPr>
      <w:r w:rsidRPr="00B93BD1">
        <w:rPr>
          <w:rFonts w:ascii="Times New Roman" w:eastAsia="Times New Roman" w:hAnsi="Times New Roman" w:cs="Times New Roman"/>
          <w:color w:val="0062AC"/>
          <w:lang w:eastAsia="ru-RU"/>
        </w:rPr>
        <w:t>Москва</w:t>
      </w:r>
    </w:p>
    <w:p w:rsidR="00B93BD1" w:rsidRPr="00B93BD1" w:rsidRDefault="00B93BD1" w:rsidP="00B93BD1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62AC"/>
          <w:sz w:val="28"/>
          <w:szCs w:val="28"/>
          <w:lang w:eastAsia="ru-RU"/>
        </w:rPr>
      </w:pPr>
    </w:p>
    <w:p w:rsidR="00A53CA0" w:rsidRDefault="00A53CA0" w:rsidP="00312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6295F" w:rsidRDefault="0006295F" w:rsidP="008B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B5044" w:rsidRPr="00E75A84" w:rsidRDefault="008B5044" w:rsidP="008B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75A8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Об организации исполнения </w:t>
      </w:r>
      <w:r w:rsidRPr="007036A8">
        <w:rPr>
          <w:rFonts w:ascii="Times New Roman" w:eastAsia="Times New Roman" w:hAnsi="Times New Roman" w:cs="Times New Roman"/>
          <w:b/>
          <w:sz w:val="28"/>
          <w:lang w:eastAsia="ru-RU"/>
        </w:rPr>
        <w:t>постановления Правительства Российской Федерации от 15 февраля 2020 года № 153 «О 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учреждений»</w:t>
      </w:r>
    </w:p>
    <w:p w:rsidR="007D4F85" w:rsidRPr="00F318ED" w:rsidRDefault="007D4F85" w:rsidP="00F318E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8648F" w:rsidRDefault="00C26185" w:rsidP="003B6C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318ED">
        <w:rPr>
          <w:rFonts w:ascii="Times New Roman" w:eastAsia="Times New Roman" w:hAnsi="Times New Roman" w:cs="Times New Roman"/>
          <w:sz w:val="28"/>
          <w:lang w:eastAsia="ru-RU"/>
        </w:rPr>
        <w:t>Во исполнение</w:t>
      </w:r>
      <w:r w:rsidR="00983C97" w:rsidRPr="00F318E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737FA" w:rsidRPr="00F318ED">
        <w:rPr>
          <w:rFonts w:ascii="Times New Roman" w:eastAsia="Times New Roman" w:hAnsi="Times New Roman" w:cs="Times New Roman"/>
          <w:sz w:val="28"/>
          <w:lang w:eastAsia="ru-RU"/>
        </w:rPr>
        <w:t>постановлени</w:t>
      </w:r>
      <w:r w:rsidR="0031234B" w:rsidRPr="00F318ED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A737FA" w:rsidRPr="00F318ED">
        <w:rPr>
          <w:rFonts w:ascii="Times New Roman" w:eastAsia="Times New Roman" w:hAnsi="Times New Roman" w:cs="Times New Roman"/>
          <w:sz w:val="28"/>
          <w:lang w:eastAsia="ru-RU"/>
        </w:rPr>
        <w:t xml:space="preserve"> Правительства Российской Федерации</w:t>
      </w:r>
      <w:r w:rsidR="00697BE0" w:rsidRPr="00F318E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05652" w:rsidRPr="00F318ED">
        <w:rPr>
          <w:rFonts w:ascii="Times New Roman" w:eastAsia="Times New Roman" w:hAnsi="Times New Roman" w:cs="Times New Roman"/>
          <w:sz w:val="28"/>
          <w:lang w:eastAsia="ru-RU"/>
        </w:rPr>
        <w:t xml:space="preserve">от 15 февраля 2020 года № 153 </w:t>
      </w:r>
      <w:r w:rsidR="00FB098C" w:rsidRPr="00F318ED">
        <w:rPr>
          <w:rFonts w:ascii="Times New Roman" w:eastAsia="Times New Roman" w:hAnsi="Times New Roman" w:cs="Times New Roman"/>
          <w:sz w:val="28"/>
          <w:lang w:eastAsia="ru-RU"/>
        </w:rPr>
        <w:t>«О 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учреждений»</w:t>
      </w:r>
      <w:r w:rsidR="00FB098C" w:rsidRPr="00F318ED">
        <w:t xml:space="preserve"> </w:t>
      </w:r>
      <w:r w:rsidR="00926A40" w:rsidRPr="00F318ED"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="008B5044" w:rsidRPr="008B5044">
        <w:rPr>
          <w:rFonts w:ascii="Times New Roman" w:eastAsia="Times New Roman" w:hAnsi="Times New Roman" w:cs="Times New Roman"/>
          <w:sz w:val="28"/>
          <w:lang w:eastAsia="ru-RU"/>
        </w:rPr>
        <w:t>Собрание законодательства Российской Федерации, 2020, № 8, ст. 1016; №</w:t>
      </w:r>
      <w:r w:rsidR="008B5044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8B5044" w:rsidRPr="008B5044">
        <w:rPr>
          <w:rFonts w:ascii="Times New Roman" w:eastAsia="Times New Roman" w:hAnsi="Times New Roman" w:cs="Times New Roman"/>
          <w:sz w:val="28"/>
          <w:lang w:eastAsia="ru-RU"/>
        </w:rPr>
        <w:t>47, ст. 7521</w:t>
      </w:r>
      <w:r w:rsidR="00926A40" w:rsidRPr="00F318ED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="007D703C" w:rsidRPr="00F318E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926A40" w:rsidRPr="00F318E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8648F" w:rsidRPr="00F318ED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EF6758" w:rsidRPr="00F318E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8648F" w:rsidRPr="00F318ED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="00EF6758" w:rsidRPr="00F318E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8648F" w:rsidRPr="00F318ED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EF6758" w:rsidRPr="00F318E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8648F" w:rsidRPr="00F318ED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EF6758" w:rsidRPr="00F318E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8648F" w:rsidRPr="00F318ED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="00EF6758" w:rsidRPr="00F318E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8648F" w:rsidRPr="00F318ED">
        <w:rPr>
          <w:rFonts w:ascii="Times New Roman" w:eastAsia="Times New Roman" w:hAnsi="Times New Roman" w:cs="Times New Roman"/>
          <w:sz w:val="28"/>
          <w:lang w:eastAsia="ru-RU"/>
        </w:rPr>
        <w:t>з</w:t>
      </w:r>
      <w:r w:rsidR="00EF6758" w:rsidRPr="00F318E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8648F" w:rsidRPr="00F318ED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="00EF6758" w:rsidRPr="00F318E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8648F" w:rsidRPr="00F318ED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EF6758" w:rsidRPr="00F318E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8648F" w:rsidRPr="00F318ED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="00EF6758" w:rsidRPr="00F318E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8648F" w:rsidRPr="00F318ED">
        <w:rPr>
          <w:rFonts w:ascii="Times New Roman" w:eastAsia="Times New Roman" w:hAnsi="Times New Roman" w:cs="Times New Roman"/>
          <w:sz w:val="28"/>
          <w:lang w:eastAsia="ru-RU"/>
        </w:rPr>
        <w:t>ю:</w:t>
      </w:r>
    </w:p>
    <w:p w:rsidR="008B5044" w:rsidRPr="008B5044" w:rsidRDefault="008B5044" w:rsidP="008B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44">
        <w:rPr>
          <w:rFonts w:ascii="Times New Roman" w:hAnsi="Times New Roman" w:cs="Times New Roman"/>
          <w:sz w:val="28"/>
          <w:szCs w:val="28"/>
        </w:rPr>
        <w:t>1. Заместителю руководителя Федерального казначейства А.В.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5044">
        <w:rPr>
          <w:rFonts w:ascii="Times New Roman" w:hAnsi="Times New Roman" w:cs="Times New Roman"/>
          <w:sz w:val="28"/>
          <w:szCs w:val="28"/>
        </w:rPr>
        <w:t xml:space="preserve">Дубовику организовать работу по исполнению территориальными органами Федерального казначейства, Федеральным казенным учреждением «Центр по обеспечению деятельности Казначейства России» полномочий федеральных органов исполнительной власти, их территориальных органов, подведомственных казенных учреждений, указанных в пункте 1 постановления Правительства Российской Федерации от 15 февраля 2020 г. № 153 «О передаче Федеральному казначейству </w:t>
      </w:r>
      <w:r w:rsidRPr="008B5044">
        <w:rPr>
          <w:rFonts w:ascii="Times New Roman" w:hAnsi="Times New Roman" w:cs="Times New Roman"/>
          <w:sz w:val="28"/>
          <w:szCs w:val="28"/>
        </w:rPr>
        <w:lastRenderedPageBreak/>
        <w:t>полномочий отдельных федеральных органов исполнительной власти, их территориальных органов и подведомственных им казенных учреждений» (далее – субъекты централизованного учета, централизуемые полномочия).</w:t>
      </w:r>
    </w:p>
    <w:p w:rsidR="008B5044" w:rsidRPr="008B5044" w:rsidRDefault="008B5044" w:rsidP="008B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44">
        <w:rPr>
          <w:rFonts w:ascii="Times New Roman" w:hAnsi="Times New Roman" w:cs="Times New Roman"/>
          <w:sz w:val="28"/>
          <w:szCs w:val="28"/>
        </w:rPr>
        <w:t>2. Заместителю руководителя Федерального казначейства А.С.</w:t>
      </w:r>
      <w:r w:rsidR="00A62419">
        <w:rPr>
          <w:rFonts w:ascii="Times New Roman" w:hAnsi="Times New Roman" w:cs="Times New Roman"/>
          <w:sz w:val="28"/>
          <w:szCs w:val="28"/>
        </w:rPr>
        <w:t> </w:t>
      </w:r>
      <w:r w:rsidRPr="008B5044">
        <w:rPr>
          <w:rFonts w:ascii="Times New Roman" w:hAnsi="Times New Roman" w:cs="Times New Roman"/>
          <w:sz w:val="28"/>
          <w:szCs w:val="28"/>
        </w:rPr>
        <w:t xml:space="preserve">Албычеву обеспечить надлежащее функционирование подсистем: управления нефинансовыми активами; управления оплатой труда; учета и отчетности; информационно-аналитического обеспечения государственной интегрированной информационной системы управления общественными финансами </w:t>
      </w:r>
      <w:r w:rsidR="00A62419">
        <w:rPr>
          <w:rFonts w:ascii="Times New Roman" w:hAnsi="Times New Roman" w:cs="Times New Roman"/>
          <w:sz w:val="28"/>
          <w:szCs w:val="28"/>
        </w:rPr>
        <w:t>«</w:t>
      </w:r>
      <w:r w:rsidRPr="008B504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62419">
        <w:rPr>
          <w:rFonts w:ascii="Times New Roman" w:hAnsi="Times New Roman" w:cs="Times New Roman"/>
          <w:sz w:val="28"/>
          <w:szCs w:val="28"/>
        </w:rPr>
        <w:t>» (далее – система «Электронный бюджет»</w:t>
      </w:r>
      <w:r w:rsidRPr="008B5044">
        <w:rPr>
          <w:rFonts w:ascii="Times New Roman" w:hAnsi="Times New Roman" w:cs="Times New Roman"/>
          <w:sz w:val="28"/>
          <w:szCs w:val="28"/>
        </w:rPr>
        <w:t>)</w:t>
      </w:r>
      <w:r w:rsidR="00A62419" w:rsidRPr="00A62419">
        <w:t xml:space="preserve"> </w:t>
      </w:r>
      <w:r w:rsidR="00A62419">
        <w:rPr>
          <w:rFonts w:ascii="Times New Roman" w:hAnsi="Times New Roman" w:cs="Times New Roman"/>
          <w:sz w:val="28"/>
          <w:szCs w:val="28"/>
        </w:rPr>
        <w:t>и Е</w:t>
      </w:r>
      <w:r w:rsidR="00A62419" w:rsidRPr="00A62419">
        <w:rPr>
          <w:rFonts w:ascii="Times New Roman" w:hAnsi="Times New Roman" w:cs="Times New Roman"/>
          <w:sz w:val="28"/>
          <w:szCs w:val="28"/>
        </w:rPr>
        <w:t>диного портала бюджетной систем</w:t>
      </w:r>
      <w:r w:rsidR="00A62419">
        <w:rPr>
          <w:rFonts w:ascii="Times New Roman" w:hAnsi="Times New Roman" w:cs="Times New Roman"/>
          <w:sz w:val="28"/>
          <w:szCs w:val="28"/>
        </w:rPr>
        <w:t xml:space="preserve">ы Российской Федерации </w:t>
      </w:r>
      <w:r w:rsidR="00A62419" w:rsidRPr="00A82BB6">
        <w:rPr>
          <w:rFonts w:ascii="Times New Roman" w:hAnsi="Times New Roman" w:cs="Times New Roman"/>
          <w:sz w:val="28"/>
          <w:szCs w:val="28"/>
        </w:rPr>
        <w:t xml:space="preserve">системы «Электронный бюджет» в информационно-телекоммуникационной сети «Интернет» (далее – Единый портал бюджетной системы Российской Федерации) </w:t>
      </w:r>
      <w:r w:rsidRPr="00A82BB6">
        <w:rPr>
          <w:rFonts w:ascii="Times New Roman" w:hAnsi="Times New Roman" w:cs="Times New Roman"/>
          <w:sz w:val="28"/>
          <w:szCs w:val="28"/>
        </w:rPr>
        <w:t>для выполнения централизуемых полномочий с и</w:t>
      </w:r>
      <w:r w:rsidR="00A62419" w:rsidRPr="00A82BB6">
        <w:rPr>
          <w:rFonts w:ascii="Times New Roman" w:hAnsi="Times New Roman" w:cs="Times New Roman"/>
          <w:sz w:val="28"/>
          <w:szCs w:val="28"/>
        </w:rPr>
        <w:t>спользованием системы «Электронный бюджет»</w:t>
      </w:r>
      <w:r w:rsidRPr="00A82BB6">
        <w:rPr>
          <w:rFonts w:ascii="Times New Roman" w:hAnsi="Times New Roman" w:cs="Times New Roman"/>
          <w:sz w:val="28"/>
          <w:szCs w:val="28"/>
        </w:rPr>
        <w:t>.</w:t>
      </w:r>
    </w:p>
    <w:p w:rsidR="008B5044" w:rsidRPr="008B5044" w:rsidRDefault="008B5044" w:rsidP="008B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44">
        <w:rPr>
          <w:rFonts w:ascii="Times New Roman" w:hAnsi="Times New Roman" w:cs="Times New Roman"/>
          <w:sz w:val="28"/>
          <w:szCs w:val="28"/>
        </w:rPr>
        <w:t>3. Управлению централизованной бухгалтерии Федерального казначейства (В.И. Морозова) в целях определения порядка организации осуществления централизуемых полномочий обеспечить:</w:t>
      </w:r>
    </w:p>
    <w:p w:rsidR="008B5044" w:rsidRPr="008B5044" w:rsidRDefault="008B5044" w:rsidP="008B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44">
        <w:rPr>
          <w:rFonts w:ascii="Times New Roman" w:hAnsi="Times New Roman" w:cs="Times New Roman"/>
          <w:sz w:val="28"/>
          <w:szCs w:val="28"/>
        </w:rPr>
        <w:t>3.1. своевременное внесение изменений в документы единой учетной политики при централизации учета;</w:t>
      </w:r>
    </w:p>
    <w:p w:rsidR="009211A5" w:rsidRDefault="008B5044" w:rsidP="008B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44">
        <w:rPr>
          <w:rFonts w:ascii="Times New Roman" w:hAnsi="Times New Roman" w:cs="Times New Roman"/>
          <w:sz w:val="28"/>
          <w:szCs w:val="28"/>
        </w:rPr>
        <w:t xml:space="preserve">3.2. </w:t>
      </w:r>
      <w:r w:rsidR="009211A5" w:rsidRPr="009211A5">
        <w:rPr>
          <w:rFonts w:ascii="Times New Roman" w:hAnsi="Times New Roman" w:cs="Times New Roman"/>
          <w:sz w:val="28"/>
          <w:szCs w:val="28"/>
        </w:rPr>
        <w:t xml:space="preserve">своевременное внесение изменений в </w:t>
      </w:r>
      <w:r w:rsidRPr="008B5044">
        <w:rPr>
          <w:rFonts w:ascii="Times New Roman" w:hAnsi="Times New Roman" w:cs="Times New Roman"/>
          <w:sz w:val="28"/>
          <w:szCs w:val="28"/>
        </w:rPr>
        <w:t>график организации исполнения централизуемых полномочий, утвержд</w:t>
      </w:r>
      <w:r w:rsidR="009211A5">
        <w:rPr>
          <w:rFonts w:ascii="Times New Roman" w:hAnsi="Times New Roman" w:cs="Times New Roman"/>
          <w:sz w:val="28"/>
          <w:szCs w:val="28"/>
        </w:rPr>
        <w:t>енный</w:t>
      </w:r>
      <w:r w:rsidRPr="008B504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F225A8">
        <w:rPr>
          <w:rFonts w:ascii="Times New Roman" w:hAnsi="Times New Roman" w:cs="Times New Roman"/>
          <w:sz w:val="28"/>
          <w:szCs w:val="28"/>
        </w:rPr>
        <w:t>пунктом 3</w:t>
      </w:r>
      <w:r w:rsidRPr="008B5044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</w:t>
      </w:r>
      <w:r w:rsidR="009211A5">
        <w:rPr>
          <w:rFonts w:ascii="Times New Roman" w:hAnsi="Times New Roman" w:cs="Times New Roman"/>
          <w:sz w:val="28"/>
          <w:szCs w:val="28"/>
        </w:rPr>
        <w:t> </w:t>
      </w:r>
      <w:r w:rsidRPr="008B5044">
        <w:rPr>
          <w:rFonts w:ascii="Times New Roman" w:hAnsi="Times New Roman" w:cs="Times New Roman"/>
          <w:sz w:val="28"/>
          <w:szCs w:val="28"/>
        </w:rPr>
        <w:t>15</w:t>
      </w:r>
      <w:r w:rsidR="009211A5">
        <w:rPr>
          <w:rFonts w:ascii="Times New Roman" w:hAnsi="Times New Roman" w:cs="Times New Roman"/>
          <w:sz w:val="28"/>
          <w:szCs w:val="28"/>
        </w:rPr>
        <w:t> </w:t>
      </w:r>
      <w:r w:rsidRPr="008B5044">
        <w:rPr>
          <w:rFonts w:ascii="Times New Roman" w:hAnsi="Times New Roman" w:cs="Times New Roman"/>
          <w:sz w:val="28"/>
          <w:szCs w:val="28"/>
        </w:rPr>
        <w:t xml:space="preserve">февраля 2020 года </w:t>
      </w:r>
      <w:r w:rsidR="00F225A8">
        <w:rPr>
          <w:rFonts w:ascii="Times New Roman" w:hAnsi="Times New Roman" w:cs="Times New Roman"/>
          <w:sz w:val="28"/>
          <w:szCs w:val="28"/>
        </w:rPr>
        <w:t>№</w:t>
      </w:r>
      <w:r w:rsidRPr="008B5044">
        <w:rPr>
          <w:rFonts w:ascii="Times New Roman" w:hAnsi="Times New Roman" w:cs="Times New Roman"/>
          <w:sz w:val="28"/>
          <w:szCs w:val="28"/>
        </w:rPr>
        <w:t xml:space="preserve"> 153 </w:t>
      </w:r>
      <w:r w:rsidR="00F225A8">
        <w:rPr>
          <w:rFonts w:ascii="Times New Roman" w:hAnsi="Times New Roman" w:cs="Times New Roman"/>
          <w:sz w:val="28"/>
          <w:szCs w:val="28"/>
        </w:rPr>
        <w:t>«</w:t>
      </w:r>
      <w:r w:rsidRPr="008B5044">
        <w:rPr>
          <w:rFonts w:ascii="Times New Roman" w:hAnsi="Times New Roman" w:cs="Times New Roman"/>
          <w:sz w:val="28"/>
          <w:szCs w:val="28"/>
        </w:rPr>
        <w:t>О</w:t>
      </w:r>
      <w:r w:rsidR="00F225A8">
        <w:rPr>
          <w:rFonts w:ascii="Times New Roman" w:hAnsi="Times New Roman" w:cs="Times New Roman"/>
          <w:sz w:val="28"/>
          <w:szCs w:val="28"/>
        </w:rPr>
        <w:t> </w:t>
      </w:r>
      <w:r w:rsidRPr="008B5044">
        <w:rPr>
          <w:rFonts w:ascii="Times New Roman" w:hAnsi="Times New Roman" w:cs="Times New Roman"/>
          <w:sz w:val="28"/>
          <w:szCs w:val="28"/>
        </w:rPr>
        <w:t>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</w:t>
      </w:r>
      <w:r w:rsidR="00F225A8">
        <w:rPr>
          <w:rFonts w:ascii="Times New Roman" w:hAnsi="Times New Roman" w:cs="Times New Roman"/>
          <w:sz w:val="28"/>
          <w:szCs w:val="28"/>
        </w:rPr>
        <w:t>»</w:t>
      </w:r>
      <w:r w:rsidR="009211A5">
        <w:rPr>
          <w:rFonts w:ascii="Times New Roman" w:hAnsi="Times New Roman" w:cs="Times New Roman"/>
          <w:sz w:val="28"/>
          <w:szCs w:val="28"/>
        </w:rPr>
        <w:t>;</w:t>
      </w:r>
    </w:p>
    <w:p w:rsidR="008B5044" w:rsidRPr="008B5044" w:rsidRDefault="009211A5" w:rsidP="00BE7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262111">
        <w:rPr>
          <w:rFonts w:ascii="Times New Roman" w:hAnsi="Times New Roman" w:cs="Times New Roman"/>
          <w:sz w:val="28"/>
          <w:szCs w:val="28"/>
        </w:rPr>
        <w:t>утверждение курирующим заместителем руководителя Федерального казначейства Перечня территориальных органов Федерального казначейства, филиалов Федерального казенного учреждения</w:t>
      </w:r>
      <w:r w:rsidR="00262111" w:rsidRPr="00262111">
        <w:rPr>
          <w:rFonts w:ascii="Times New Roman" w:hAnsi="Times New Roman" w:cs="Times New Roman"/>
          <w:sz w:val="28"/>
          <w:szCs w:val="28"/>
        </w:rPr>
        <w:t xml:space="preserve"> «Центр по обеспечению деятельности Казначейства России»</w:t>
      </w:r>
      <w:r w:rsidR="00262111">
        <w:rPr>
          <w:rFonts w:ascii="Times New Roman" w:hAnsi="Times New Roman" w:cs="Times New Roman"/>
          <w:sz w:val="28"/>
          <w:szCs w:val="28"/>
        </w:rPr>
        <w:t xml:space="preserve">, </w:t>
      </w:r>
      <w:r w:rsidR="00262111">
        <w:rPr>
          <w:rFonts w:ascii="Times New Roman" w:hAnsi="Times New Roman" w:cs="Times New Roman"/>
          <w:sz w:val="28"/>
          <w:szCs w:val="28"/>
        </w:rPr>
        <w:lastRenderedPageBreak/>
        <w:t>осуществляющих исполнение централизуемых полномочий соответствующих субъектов централизованного учета</w:t>
      </w:r>
      <w:r w:rsidR="00BE72D8">
        <w:rPr>
          <w:rFonts w:ascii="Times New Roman" w:hAnsi="Times New Roman" w:cs="Times New Roman"/>
          <w:sz w:val="28"/>
          <w:szCs w:val="28"/>
        </w:rPr>
        <w:t xml:space="preserve"> (далее – Перечень), а также актуализацию Перечня в случае изменения действующей структуры </w:t>
      </w:r>
      <w:r w:rsidR="007A553E">
        <w:rPr>
          <w:rFonts w:ascii="Times New Roman" w:hAnsi="Times New Roman" w:cs="Times New Roman"/>
          <w:sz w:val="28"/>
          <w:szCs w:val="28"/>
        </w:rPr>
        <w:t>субъекта централизованного учета</w:t>
      </w:r>
      <w:r w:rsidR="00BE72D8" w:rsidRPr="00BE72D8">
        <w:rPr>
          <w:rFonts w:ascii="Times New Roman" w:hAnsi="Times New Roman" w:cs="Times New Roman"/>
          <w:sz w:val="28"/>
          <w:szCs w:val="28"/>
        </w:rPr>
        <w:t xml:space="preserve"> </w:t>
      </w:r>
      <w:r w:rsidR="00BE72D8">
        <w:rPr>
          <w:rFonts w:ascii="Times New Roman" w:hAnsi="Times New Roman" w:cs="Times New Roman"/>
          <w:sz w:val="28"/>
          <w:szCs w:val="28"/>
        </w:rPr>
        <w:t xml:space="preserve">по согласованию с соответствующим </w:t>
      </w:r>
      <w:r w:rsidR="007A553E">
        <w:rPr>
          <w:rFonts w:ascii="Times New Roman" w:hAnsi="Times New Roman" w:cs="Times New Roman"/>
          <w:sz w:val="28"/>
          <w:szCs w:val="28"/>
        </w:rPr>
        <w:t>субъектом централизованного учета</w:t>
      </w:r>
      <w:r w:rsidR="002621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044" w:rsidRPr="008B5044" w:rsidRDefault="008B5044" w:rsidP="008B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44">
        <w:rPr>
          <w:rFonts w:ascii="Times New Roman" w:hAnsi="Times New Roman" w:cs="Times New Roman"/>
          <w:sz w:val="28"/>
          <w:szCs w:val="28"/>
        </w:rPr>
        <w:t>4. Территориальным орга</w:t>
      </w:r>
      <w:r w:rsidR="00F225A8">
        <w:rPr>
          <w:rFonts w:ascii="Times New Roman" w:hAnsi="Times New Roman" w:cs="Times New Roman"/>
          <w:sz w:val="28"/>
          <w:szCs w:val="28"/>
        </w:rPr>
        <w:t>нам Федерального казначейства, Ф</w:t>
      </w:r>
      <w:r w:rsidRPr="008B5044">
        <w:rPr>
          <w:rFonts w:ascii="Times New Roman" w:hAnsi="Times New Roman" w:cs="Times New Roman"/>
          <w:sz w:val="28"/>
          <w:szCs w:val="28"/>
        </w:rPr>
        <w:t>ед</w:t>
      </w:r>
      <w:r w:rsidR="00F225A8">
        <w:rPr>
          <w:rFonts w:ascii="Times New Roman" w:hAnsi="Times New Roman" w:cs="Times New Roman"/>
          <w:sz w:val="28"/>
          <w:szCs w:val="28"/>
        </w:rPr>
        <w:t>еральному казенному учреждению «</w:t>
      </w:r>
      <w:r w:rsidRPr="008B5044">
        <w:rPr>
          <w:rFonts w:ascii="Times New Roman" w:hAnsi="Times New Roman" w:cs="Times New Roman"/>
          <w:sz w:val="28"/>
          <w:szCs w:val="28"/>
        </w:rPr>
        <w:t>Центр по обеспечению д</w:t>
      </w:r>
      <w:r w:rsidR="00F225A8">
        <w:rPr>
          <w:rFonts w:ascii="Times New Roman" w:hAnsi="Times New Roman" w:cs="Times New Roman"/>
          <w:sz w:val="28"/>
          <w:szCs w:val="28"/>
        </w:rPr>
        <w:t>еятельности Казначейства России»</w:t>
      </w:r>
      <w:r w:rsidRPr="008B5044">
        <w:rPr>
          <w:rFonts w:ascii="Times New Roman" w:hAnsi="Times New Roman" w:cs="Times New Roman"/>
          <w:sz w:val="28"/>
          <w:szCs w:val="28"/>
        </w:rPr>
        <w:t xml:space="preserve"> осуществлять исполнение централизуемых полномочий.</w:t>
      </w:r>
    </w:p>
    <w:p w:rsidR="008B5044" w:rsidRDefault="008B5044" w:rsidP="008B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44">
        <w:rPr>
          <w:rFonts w:ascii="Times New Roman" w:hAnsi="Times New Roman" w:cs="Times New Roman"/>
          <w:sz w:val="28"/>
          <w:szCs w:val="28"/>
        </w:rPr>
        <w:t>Взаимодействие с Федеральной налоговой службой, Федеральной службой государственной статистики и иными государственными органами, а также Фондом социального страхования Российской Федерации, Пенсионным фондом Российской Федерации при исполнении централизуемых полномочий осуществляется территориальными орган</w:t>
      </w:r>
      <w:r w:rsidR="00F225A8">
        <w:rPr>
          <w:rFonts w:ascii="Times New Roman" w:hAnsi="Times New Roman" w:cs="Times New Roman"/>
          <w:sz w:val="28"/>
          <w:szCs w:val="28"/>
        </w:rPr>
        <w:t>ами Федерального казначейства, Ф</w:t>
      </w:r>
      <w:r w:rsidRPr="008B5044">
        <w:rPr>
          <w:rFonts w:ascii="Times New Roman" w:hAnsi="Times New Roman" w:cs="Times New Roman"/>
          <w:sz w:val="28"/>
          <w:szCs w:val="28"/>
        </w:rPr>
        <w:t>е</w:t>
      </w:r>
      <w:r w:rsidR="00F225A8">
        <w:rPr>
          <w:rFonts w:ascii="Times New Roman" w:hAnsi="Times New Roman" w:cs="Times New Roman"/>
          <w:sz w:val="28"/>
          <w:szCs w:val="28"/>
        </w:rPr>
        <w:t>деральным казенным учреждением «</w:t>
      </w:r>
      <w:r w:rsidRPr="008B5044">
        <w:rPr>
          <w:rFonts w:ascii="Times New Roman" w:hAnsi="Times New Roman" w:cs="Times New Roman"/>
          <w:sz w:val="28"/>
          <w:szCs w:val="28"/>
        </w:rPr>
        <w:t>Центр по обеспечению д</w:t>
      </w:r>
      <w:r w:rsidR="00F225A8">
        <w:rPr>
          <w:rFonts w:ascii="Times New Roman" w:hAnsi="Times New Roman" w:cs="Times New Roman"/>
          <w:sz w:val="28"/>
          <w:szCs w:val="28"/>
        </w:rPr>
        <w:t>еятельности Казначейства России»</w:t>
      </w:r>
      <w:r w:rsidRPr="008B5044">
        <w:rPr>
          <w:rFonts w:ascii="Times New Roman" w:hAnsi="Times New Roman" w:cs="Times New Roman"/>
          <w:sz w:val="28"/>
          <w:szCs w:val="28"/>
        </w:rPr>
        <w:t xml:space="preserve"> от имени соответствующего субъекта централизованного учета.</w:t>
      </w:r>
    </w:p>
    <w:p w:rsidR="008B5044" w:rsidRPr="00D964B4" w:rsidRDefault="00F225A8" w:rsidP="008B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5044" w:rsidRPr="008B5044">
        <w:rPr>
          <w:rFonts w:ascii="Times New Roman" w:hAnsi="Times New Roman" w:cs="Times New Roman"/>
          <w:sz w:val="28"/>
          <w:szCs w:val="28"/>
        </w:rPr>
        <w:t xml:space="preserve">. Территориальным органам Федерального казначейства осуществлять формирование и </w:t>
      </w:r>
      <w:r w:rsidR="00AC4B0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8B5044" w:rsidRPr="008B5044">
        <w:rPr>
          <w:rFonts w:ascii="Times New Roman" w:hAnsi="Times New Roman" w:cs="Times New Roman"/>
          <w:sz w:val="28"/>
          <w:szCs w:val="28"/>
        </w:rPr>
        <w:t xml:space="preserve">представление бюджетной отчетности по доходам, администрируемым субъектами централизованного учета, в финансовые органы </w:t>
      </w:r>
      <w:r w:rsidR="000E6052" w:rsidRPr="00427FE6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Федерации, </w:t>
      </w:r>
      <w:r w:rsidR="007A553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0E6052" w:rsidRPr="00427FE6">
        <w:rPr>
          <w:rFonts w:ascii="Times New Roman" w:hAnsi="Times New Roman" w:cs="Times New Roman"/>
          <w:sz w:val="28"/>
          <w:szCs w:val="28"/>
        </w:rPr>
        <w:t xml:space="preserve"> и органы управления </w:t>
      </w:r>
      <w:r w:rsidR="000E6052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 w:rsidR="008B5044" w:rsidRPr="008B504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5044" w:rsidRPr="008B50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D7B" w:rsidRPr="00325D7B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>6. Межрегиональному бухгалтерскому управлению Федерального казначейства (М.М. Харций):</w:t>
      </w:r>
    </w:p>
    <w:p w:rsidR="00325D7B" w:rsidRPr="00325D7B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 xml:space="preserve">6.1. осуществлять камеральную проверку отчетности (материалов, представляемых одновременно с отчетностью, реорганизационной и ликвидационной отчетности) получателей (распорядителей) бюджетных средств, в том числе получателей бюджетных средств, постоянно </w:t>
      </w:r>
      <w:r w:rsidRPr="00325D7B">
        <w:rPr>
          <w:rFonts w:ascii="Times New Roman" w:hAnsi="Times New Roman" w:cs="Times New Roman"/>
          <w:sz w:val="28"/>
          <w:szCs w:val="28"/>
        </w:rPr>
        <w:lastRenderedPageBreak/>
        <w:t>осуществляющих свою деятельность вне территории Российской Федерации, администраторов доходов бюджета, федеральных государственных бюджетных и автономных учреждений, в том числе полученной от государственных бюджетных и автономных учреждений, унитарных предприятий, осуществляющих переданные полномочия в соответствии с пунктами 4, 4.1 статьи 79 Бюджетного кодекса Российской Федерации, подведомственных главным администраторам средств федерального бюджета - субъектам централизованного учета, на соответствие требованиям законодательства Российской Федерации к ее составлению и представлению, обеспечив непосредственное взаимодействие с указанными органами исполнительной власти, руководство деятельностью которых осуществляет Правительство Российской Федерации, их территориальными органами, подведомственными казенными учреждениями, Федеральным казенным учреждением «Центр по обеспечению деятельности Казначейства России»;</w:t>
      </w:r>
    </w:p>
    <w:p w:rsidR="00325D7B" w:rsidRPr="00325D7B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>6.2. осуществлять формирование и обеспечение представления в Межрегиональное операционное управление Федерального казначейства консолидированной бюджетной отчетности федеральных органов исполнительной власти - субъектов централизованного учета и прилагаемых к ней материалов, представляемых одновременно с бюджетной отчетностью, в том числе консолидированной финансовой (бухгалтерской) отчетностью автономных и бюджетных учреждений, подведомственных соответствующему федеральному органу исполнительной власти, в установленные сроки;</w:t>
      </w:r>
    </w:p>
    <w:p w:rsidR="00325D7B" w:rsidRPr="00325D7B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 xml:space="preserve">6.3. осуществлять формирование и обеспечить представление консолидируемой бюджетной отчетности по доходам бюджета Фонда социального страхования Российской Федерации, Пенсионного фонда Российской Федерации и Федерального фонда обязательного медицинского страхования (далее – государственные внебюджетные фонды), </w:t>
      </w:r>
      <w:r w:rsidRPr="00325D7B">
        <w:rPr>
          <w:rFonts w:ascii="Times New Roman" w:hAnsi="Times New Roman" w:cs="Times New Roman"/>
          <w:sz w:val="28"/>
          <w:szCs w:val="28"/>
        </w:rPr>
        <w:lastRenderedPageBreak/>
        <w:t>администрируемым Федеральной налоговой службой, в указанные государственные внебюджетные фонды посредством системы «Электронный бюджет».</w:t>
      </w:r>
    </w:p>
    <w:p w:rsidR="00325D7B" w:rsidRPr="00325D7B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>7. Федеральному казенному учреждению «Центр по обеспечению деятельности Казначейства России» (А.П. Суконкин):</w:t>
      </w:r>
    </w:p>
    <w:p w:rsidR="00325D7B" w:rsidRPr="00325D7B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>7.1. осуществлять камеральную проверку бюджетной отчетности и прилагаемых к ней материалов центрального аппарата Федерального казначейства, территориальных органов Федерального казначейства, межрегиональных филиалов Федерального казенного учреждения «Центр по обеспечению деятельности Казначейства России» и филиала Федерального казенного учреждения «Центр по обеспечению деятельности Казначейства России» по Калининградской области;</w:t>
      </w:r>
    </w:p>
    <w:p w:rsidR="00DA6835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 xml:space="preserve">7.2. </w:t>
      </w:r>
      <w:r w:rsidR="00DA6835" w:rsidRPr="00DA6835">
        <w:rPr>
          <w:rFonts w:ascii="Times New Roman" w:hAnsi="Times New Roman" w:cs="Times New Roman"/>
          <w:sz w:val="28"/>
          <w:szCs w:val="28"/>
        </w:rPr>
        <w:t>осуществлять формирование и обеспечение представления статистической отчетности и иной обязательной отчетности, формируемой на основании данных бюджетного учета в соответствующие государственные (муниципальные) органы;</w:t>
      </w:r>
    </w:p>
    <w:p w:rsidR="00325D7B" w:rsidRPr="00325D7B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 xml:space="preserve">7.3. осуществлять формирование и обеспечение представления в Межрегиональное операционное управление Федерального казначейства консолидированной бюджетной отчетности Федерального казначейства; </w:t>
      </w:r>
    </w:p>
    <w:p w:rsidR="00325D7B" w:rsidRPr="00325D7B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>7.4. осуществлять формирование и обеспечить представление в государственные внебюджетные фонды бюджетной отчетности по доходам бюджетов государственных внебюджетных фондов, администрируемым Федеральным казначейством (территориальными органами Федерального казначейства), и в Фонд социального страхования Российской Федерации бюджетной отчетности в части, касающейся размещения резерва средств на осуществление обязательного социального страхования от несчастных случаев на производстве и профессиональных заболеваний;</w:t>
      </w:r>
    </w:p>
    <w:p w:rsidR="00325D7B" w:rsidRPr="00325D7B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 xml:space="preserve">7.5. </w:t>
      </w:r>
      <w:r w:rsidR="009F1AD6" w:rsidRPr="009F1AD6">
        <w:rPr>
          <w:rFonts w:ascii="Times New Roman" w:hAnsi="Times New Roman" w:cs="Times New Roman"/>
          <w:sz w:val="28"/>
          <w:szCs w:val="28"/>
        </w:rPr>
        <w:t xml:space="preserve">осуществлять камеральную проверку бюджетной отчетности получателей бюджетных средств, подведомственных распорядителям </w:t>
      </w:r>
      <w:r w:rsidR="009F1AD6" w:rsidRPr="009F1AD6">
        <w:rPr>
          <w:rFonts w:ascii="Times New Roman" w:hAnsi="Times New Roman" w:cs="Times New Roman"/>
          <w:sz w:val="28"/>
          <w:szCs w:val="28"/>
        </w:rPr>
        <w:lastRenderedPageBreak/>
        <w:t>бюджетных средств, в отношении которых Федеральное казенное учреждение «Центр по обеспечению деятельности Казначейства России» осуществляет централизуемые полномочия</w:t>
      </w:r>
      <w:r w:rsidRPr="00325D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5D7B" w:rsidRPr="00325D7B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>7.6. осуществлять формирование и представление в Межрегиональное бухгалтерское управление Федерального казначейства бюджетной отчетности федеральных казенных учреждений  и территориальных органов федеральных органов исполнительной власти, полномочия по ведению учета и формированию отчетности которых переданы Федеральному казенному учреждению «Центр по обеспечению деятельности Казначейства России» (за исключением бюджетной отчетности, указанной в пункте 7.1 настоящего приказа);</w:t>
      </w:r>
    </w:p>
    <w:p w:rsidR="00325D7B" w:rsidRPr="00325D7B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>7.7.</w:t>
      </w:r>
      <w:r w:rsidRPr="00325D7B">
        <w:rPr>
          <w:rFonts w:ascii="Times New Roman" w:hAnsi="Times New Roman" w:cs="Times New Roman"/>
          <w:sz w:val="28"/>
          <w:szCs w:val="28"/>
        </w:rPr>
        <w:tab/>
        <w:t>осуществлять формирование и представление бюджетной отчетности по доходам субъектов Российской федерации и местных бюджетов, администрируемых Федеральной налоговой службой в финансовые органы соответствующих бюджетов бюджетной системы Российской Федерации путем публикации на Едином портале бюджетной системы Российской Федерации;</w:t>
      </w:r>
    </w:p>
    <w:p w:rsidR="00325D7B" w:rsidRPr="00325D7B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>7.8. осуществлять формирование и представление бюджетной отчетности по доходам бюджетов государственных внебюджетных фондов, администрируемых Федеральной налоговой службой, в Межрегиональное бухгалтерское управление Федерального казначейства средствами государственной интегрированной информационной системы «Электронный бюджет».</w:t>
      </w:r>
    </w:p>
    <w:p w:rsidR="00325D7B" w:rsidRDefault="00325D7B" w:rsidP="00325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B">
        <w:rPr>
          <w:rFonts w:ascii="Times New Roman" w:hAnsi="Times New Roman" w:cs="Times New Roman"/>
          <w:sz w:val="28"/>
          <w:szCs w:val="28"/>
        </w:rPr>
        <w:t>8. Признать утратившим силу приказ Федерального казначейства от 27 мая 2020 г. № 166 «Об организации исполнения постановления Правительства Российской Федерации от 15 февраля 2020 года № 153 «О 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учреждений».</w:t>
      </w:r>
    </w:p>
    <w:p w:rsidR="00697BE0" w:rsidRDefault="00BE5AF6" w:rsidP="00325D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9. </w:t>
      </w:r>
      <w:r w:rsidR="00697BE0">
        <w:rPr>
          <w:rFonts w:ascii="Times New Roman" w:eastAsia="Times New Roman" w:hAnsi="Times New Roman" w:cs="Times New Roman"/>
          <w:sz w:val="28"/>
          <w:lang w:eastAsia="ru-RU"/>
        </w:rPr>
        <w:t>Контроль</w:t>
      </w:r>
      <w:r w:rsidR="0028346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697BE0">
        <w:rPr>
          <w:rFonts w:ascii="Times New Roman" w:eastAsia="Times New Roman" w:hAnsi="Times New Roman" w:cs="Times New Roman"/>
          <w:sz w:val="28"/>
          <w:lang w:eastAsia="ru-RU"/>
        </w:rPr>
        <w:t>за исполнением настоящего приказа возложить на заместителя руководителя Федерального казначейства А.В. Дубовика</w:t>
      </w:r>
      <w:r w:rsidR="007D4F85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97BE0" w:rsidRDefault="00697BE0" w:rsidP="009E6903">
      <w:pPr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D7890" w:rsidRDefault="003D7890" w:rsidP="003D7890">
      <w:pPr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8462B3" w:rsidRDefault="008462B3" w:rsidP="003D7890">
      <w:pPr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462B3">
        <w:rPr>
          <w:rFonts w:ascii="Times New Roman" w:eastAsia="Times New Roman" w:hAnsi="Times New Roman" w:cs="Times New Roman"/>
          <w:sz w:val="28"/>
          <w:lang w:eastAsia="ru-RU"/>
        </w:rPr>
        <w:t xml:space="preserve">Руководитель                   </w:t>
      </w:r>
      <w:r w:rsidR="00A509E6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8462B3">
        <w:rPr>
          <w:rFonts w:ascii="Times New Roman" w:eastAsia="Times New Roman" w:hAnsi="Times New Roman" w:cs="Times New Roman"/>
          <w:sz w:val="28"/>
          <w:lang w:eastAsia="ru-RU"/>
        </w:rPr>
        <w:t xml:space="preserve">        </w:t>
      </w:r>
      <w:r w:rsidR="003D7890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Pr="008462B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</w:t>
      </w:r>
      <w:r w:rsidR="005B6178">
        <w:rPr>
          <w:rFonts w:ascii="Times New Roman" w:eastAsia="Times New Roman" w:hAnsi="Times New Roman" w:cs="Times New Roman"/>
          <w:sz w:val="28"/>
          <w:lang w:eastAsia="ru-RU"/>
        </w:rPr>
        <w:t xml:space="preserve">       </w:t>
      </w:r>
      <w:r w:rsidRPr="008462B3">
        <w:rPr>
          <w:rFonts w:ascii="Times New Roman" w:eastAsia="Times New Roman" w:hAnsi="Times New Roman" w:cs="Times New Roman"/>
          <w:sz w:val="28"/>
          <w:lang w:eastAsia="ru-RU"/>
        </w:rPr>
        <w:t xml:space="preserve">              Р.Е. Артюхин</w:t>
      </w:r>
    </w:p>
    <w:p w:rsidR="000C51AC" w:rsidRDefault="000C51AC" w:rsidP="008462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23476" w:rsidRDefault="00B23476" w:rsidP="008462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sectPr w:rsidR="00B23476" w:rsidSect="0006295F">
      <w:headerReference w:type="default" r:id="rId9"/>
      <w:pgSz w:w="11906" w:h="16838"/>
      <w:pgMar w:top="1247" w:right="1134" w:bottom="164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47B" w:rsidRDefault="0050247B" w:rsidP="00D40DE0">
      <w:pPr>
        <w:spacing w:after="0" w:line="240" w:lineRule="auto"/>
      </w:pPr>
      <w:r>
        <w:separator/>
      </w:r>
    </w:p>
  </w:endnote>
  <w:endnote w:type="continuationSeparator" w:id="0">
    <w:p w:rsidR="0050247B" w:rsidRDefault="0050247B" w:rsidP="00D4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47B" w:rsidRDefault="0050247B" w:rsidP="00D40DE0">
      <w:pPr>
        <w:spacing w:after="0" w:line="240" w:lineRule="auto"/>
      </w:pPr>
      <w:r>
        <w:separator/>
      </w:r>
    </w:p>
  </w:footnote>
  <w:footnote w:type="continuationSeparator" w:id="0">
    <w:p w:rsidR="0050247B" w:rsidRDefault="0050247B" w:rsidP="00D4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08256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96B25" w:rsidRPr="006F5810" w:rsidRDefault="00196B25">
        <w:pPr>
          <w:pStyle w:val="a5"/>
          <w:jc w:val="center"/>
          <w:rPr>
            <w:rFonts w:ascii="Times New Roman" w:hAnsi="Times New Roman"/>
          </w:rPr>
        </w:pPr>
        <w:r w:rsidRPr="006F5810">
          <w:rPr>
            <w:rFonts w:ascii="Times New Roman" w:hAnsi="Times New Roman"/>
          </w:rPr>
          <w:fldChar w:fldCharType="begin"/>
        </w:r>
        <w:r w:rsidRPr="006F5810">
          <w:rPr>
            <w:rFonts w:ascii="Times New Roman" w:hAnsi="Times New Roman"/>
          </w:rPr>
          <w:instrText>PAGE   \* MERGEFORMAT</w:instrText>
        </w:r>
        <w:r w:rsidRPr="006F5810">
          <w:rPr>
            <w:rFonts w:ascii="Times New Roman" w:hAnsi="Times New Roman"/>
          </w:rPr>
          <w:fldChar w:fldCharType="separate"/>
        </w:r>
        <w:r w:rsidR="00F818A5">
          <w:rPr>
            <w:rFonts w:ascii="Times New Roman" w:hAnsi="Times New Roman"/>
            <w:noProof/>
          </w:rPr>
          <w:t>7</w:t>
        </w:r>
        <w:r w:rsidRPr="006F5810">
          <w:rPr>
            <w:rFonts w:ascii="Times New Roman" w:hAnsi="Times New Roman"/>
          </w:rPr>
          <w:fldChar w:fldCharType="end"/>
        </w:r>
      </w:p>
    </w:sdtContent>
  </w:sdt>
  <w:p w:rsidR="00196B25" w:rsidRDefault="00196B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D0D29"/>
    <w:multiLevelType w:val="hybridMultilevel"/>
    <w:tmpl w:val="479EE000"/>
    <w:lvl w:ilvl="0" w:tplc="5A9C6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BE"/>
    <w:rsid w:val="00012897"/>
    <w:rsid w:val="00014F03"/>
    <w:rsid w:val="00015A71"/>
    <w:rsid w:val="0001618A"/>
    <w:rsid w:val="0006295F"/>
    <w:rsid w:val="00071E63"/>
    <w:rsid w:val="00077365"/>
    <w:rsid w:val="00081F44"/>
    <w:rsid w:val="00097C65"/>
    <w:rsid w:val="000A2D02"/>
    <w:rsid w:val="000C464A"/>
    <w:rsid w:val="000C51AC"/>
    <w:rsid w:val="000D3209"/>
    <w:rsid w:val="000D68B0"/>
    <w:rsid w:val="000E6052"/>
    <w:rsid w:val="001124C8"/>
    <w:rsid w:val="00113E5C"/>
    <w:rsid w:val="0013599B"/>
    <w:rsid w:val="001402F8"/>
    <w:rsid w:val="00171C2A"/>
    <w:rsid w:val="0018641E"/>
    <w:rsid w:val="00196B25"/>
    <w:rsid w:val="001B3D0D"/>
    <w:rsid w:val="001F621D"/>
    <w:rsid w:val="001F7575"/>
    <w:rsid w:val="00224327"/>
    <w:rsid w:val="002326B7"/>
    <w:rsid w:val="00250A9C"/>
    <w:rsid w:val="00261B6D"/>
    <w:rsid w:val="00262111"/>
    <w:rsid w:val="0026383C"/>
    <w:rsid w:val="00283466"/>
    <w:rsid w:val="00286922"/>
    <w:rsid w:val="00290655"/>
    <w:rsid w:val="00297625"/>
    <w:rsid w:val="002A4324"/>
    <w:rsid w:val="002A5701"/>
    <w:rsid w:val="002B07E0"/>
    <w:rsid w:val="002D4F57"/>
    <w:rsid w:val="002E7073"/>
    <w:rsid w:val="00302277"/>
    <w:rsid w:val="00303801"/>
    <w:rsid w:val="00305652"/>
    <w:rsid w:val="00306DF4"/>
    <w:rsid w:val="00310C37"/>
    <w:rsid w:val="0031234B"/>
    <w:rsid w:val="00314DDD"/>
    <w:rsid w:val="00322778"/>
    <w:rsid w:val="00325D7B"/>
    <w:rsid w:val="00367F18"/>
    <w:rsid w:val="003709BF"/>
    <w:rsid w:val="00386A30"/>
    <w:rsid w:val="00393250"/>
    <w:rsid w:val="003B01D6"/>
    <w:rsid w:val="003B6C58"/>
    <w:rsid w:val="003C0D30"/>
    <w:rsid w:val="003C405A"/>
    <w:rsid w:val="003D0D11"/>
    <w:rsid w:val="003D2811"/>
    <w:rsid w:val="003D50D1"/>
    <w:rsid w:val="003D7890"/>
    <w:rsid w:val="003F0266"/>
    <w:rsid w:val="00402B0D"/>
    <w:rsid w:val="00427FE6"/>
    <w:rsid w:val="004500B1"/>
    <w:rsid w:val="004572B2"/>
    <w:rsid w:val="00462231"/>
    <w:rsid w:val="00462646"/>
    <w:rsid w:val="00472C78"/>
    <w:rsid w:val="004A2FED"/>
    <w:rsid w:val="004A4FAD"/>
    <w:rsid w:val="004C65C8"/>
    <w:rsid w:val="0050247B"/>
    <w:rsid w:val="00524E13"/>
    <w:rsid w:val="00525EC3"/>
    <w:rsid w:val="005377A4"/>
    <w:rsid w:val="00551DF4"/>
    <w:rsid w:val="005663F3"/>
    <w:rsid w:val="00572ECE"/>
    <w:rsid w:val="00573250"/>
    <w:rsid w:val="00594732"/>
    <w:rsid w:val="005A4620"/>
    <w:rsid w:val="005A573F"/>
    <w:rsid w:val="005A60B3"/>
    <w:rsid w:val="005A7061"/>
    <w:rsid w:val="005B6178"/>
    <w:rsid w:val="005C42D3"/>
    <w:rsid w:val="005D1647"/>
    <w:rsid w:val="005E6049"/>
    <w:rsid w:val="00601CD3"/>
    <w:rsid w:val="00606D14"/>
    <w:rsid w:val="006146DE"/>
    <w:rsid w:val="0064345A"/>
    <w:rsid w:val="00644B24"/>
    <w:rsid w:val="00660044"/>
    <w:rsid w:val="00697BE0"/>
    <w:rsid w:val="006C3474"/>
    <w:rsid w:val="006C3F15"/>
    <w:rsid w:val="006F5810"/>
    <w:rsid w:val="00700F4C"/>
    <w:rsid w:val="007036A8"/>
    <w:rsid w:val="00703B96"/>
    <w:rsid w:val="0071151B"/>
    <w:rsid w:val="00720FA7"/>
    <w:rsid w:val="00723123"/>
    <w:rsid w:val="007326C3"/>
    <w:rsid w:val="007366C6"/>
    <w:rsid w:val="007430F7"/>
    <w:rsid w:val="00760BC0"/>
    <w:rsid w:val="007742FE"/>
    <w:rsid w:val="007A188E"/>
    <w:rsid w:val="007A4120"/>
    <w:rsid w:val="007A553E"/>
    <w:rsid w:val="007C0205"/>
    <w:rsid w:val="007C1345"/>
    <w:rsid w:val="007C1BFF"/>
    <w:rsid w:val="007D4F85"/>
    <w:rsid w:val="007D703C"/>
    <w:rsid w:val="007E1DE6"/>
    <w:rsid w:val="008267D5"/>
    <w:rsid w:val="008305A5"/>
    <w:rsid w:val="0084459E"/>
    <w:rsid w:val="008462B3"/>
    <w:rsid w:val="00861ED0"/>
    <w:rsid w:val="008621CE"/>
    <w:rsid w:val="00863EAA"/>
    <w:rsid w:val="008758BE"/>
    <w:rsid w:val="0088512E"/>
    <w:rsid w:val="008971AE"/>
    <w:rsid w:val="008A23F5"/>
    <w:rsid w:val="008A57F5"/>
    <w:rsid w:val="008B5044"/>
    <w:rsid w:val="008C28D8"/>
    <w:rsid w:val="008C306B"/>
    <w:rsid w:val="0091445A"/>
    <w:rsid w:val="009211A5"/>
    <w:rsid w:val="00926A40"/>
    <w:rsid w:val="0095594C"/>
    <w:rsid w:val="00981F23"/>
    <w:rsid w:val="00983C97"/>
    <w:rsid w:val="00986576"/>
    <w:rsid w:val="00997452"/>
    <w:rsid w:val="009B5DE6"/>
    <w:rsid w:val="009C1C08"/>
    <w:rsid w:val="009D1D59"/>
    <w:rsid w:val="009E6903"/>
    <w:rsid w:val="009F1AD6"/>
    <w:rsid w:val="009F6F0A"/>
    <w:rsid w:val="00A07342"/>
    <w:rsid w:val="00A24645"/>
    <w:rsid w:val="00A509E6"/>
    <w:rsid w:val="00A53CA0"/>
    <w:rsid w:val="00A6064F"/>
    <w:rsid w:val="00A61A4C"/>
    <w:rsid w:val="00A62419"/>
    <w:rsid w:val="00A732CA"/>
    <w:rsid w:val="00A737FA"/>
    <w:rsid w:val="00A82BB6"/>
    <w:rsid w:val="00AB0342"/>
    <w:rsid w:val="00AB3B1B"/>
    <w:rsid w:val="00AC4B0E"/>
    <w:rsid w:val="00AE2D93"/>
    <w:rsid w:val="00AE7478"/>
    <w:rsid w:val="00AF546A"/>
    <w:rsid w:val="00AF5ACF"/>
    <w:rsid w:val="00B23476"/>
    <w:rsid w:val="00B37024"/>
    <w:rsid w:val="00B41D9F"/>
    <w:rsid w:val="00B43CEC"/>
    <w:rsid w:val="00B449DB"/>
    <w:rsid w:val="00B51DF7"/>
    <w:rsid w:val="00B719C0"/>
    <w:rsid w:val="00B7217C"/>
    <w:rsid w:val="00B77221"/>
    <w:rsid w:val="00B77B05"/>
    <w:rsid w:val="00B93BD1"/>
    <w:rsid w:val="00BA1BA6"/>
    <w:rsid w:val="00BD1FDB"/>
    <w:rsid w:val="00BE1235"/>
    <w:rsid w:val="00BE5AF6"/>
    <w:rsid w:val="00BE72D8"/>
    <w:rsid w:val="00BF5C73"/>
    <w:rsid w:val="00C06417"/>
    <w:rsid w:val="00C144BE"/>
    <w:rsid w:val="00C210AE"/>
    <w:rsid w:val="00C26185"/>
    <w:rsid w:val="00C54984"/>
    <w:rsid w:val="00C724BC"/>
    <w:rsid w:val="00C8648F"/>
    <w:rsid w:val="00CA142F"/>
    <w:rsid w:val="00CA24F1"/>
    <w:rsid w:val="00CA4649"/>
    <w:rsid w:val="00CA640A"/>
    <w:rsid w:val="00CA7DCB"/>
    <w:rsid w:val="00CB0097"/>
    <w:rsid w:val="00CC5527"/>
    <w:rsid w:val="00CE76D1"/>
    <w:rsid w:val="00CF01BA"/>
    <w:rsid w:val="00D02841"/>
    <w:rsid w:val="00D40DE0"/>
    <w:rsid w:val="00D64EBB"/>
    <w:rsid w:val="00D66C22"/>
    <w:rsid w:val="00D8199B"/>
    <w:rsid w:val="00D819B8"/>
    <w:rsid w:val="00D869B8"/>
    <w:rsid w:val="00D964B4"/>
    <w:rsid w:val="00DA6835"/>
    <w:rsid w:val="00DB2361"/>
    <w:rsid w:val="00DB50CC"/>
    <w:rsid w:val="00DC64B2"/>
    <w:rsid w:val="00DC7652"/>
    <w:rsid w:val="00DD3EF9"/>
    <w:rsid w:val="00DF2AF4"/>
    <w:rsid w:val="00E00543"/>
    <w:rsid w:val="00E01C9B"/>
    <w:rsid w:val="00E452BE"/>
    <w:rsid w:val="00E75A84"/>
    <w:rsid w:val="00E82047"/>
    <w:rsid w:val="00E95A21"/>
    <w:rsid w:val="00EC5752"/>
    <w:rsid w:val="00EC5B2C"/>
    <w:rsid w:val="00EE5047"/>
    <w:rsid w:val="00EE6B08"/>
    <w:rsid w:val="00EF6758"/>
    <w:rsid w:val="00EF766A"/>
    <w:rsid w:val="00F0492E"/>
    <w:rsid w:val="00F05EB5"/>
    <w:rsid w:val="00F062DA"/>
    <w:rsid w:val="00F225A8"/>
    <w:rsid w:val="00F318ED"/>
    <w:rsid w:val="00F3549E"/>
    <w:rsid w:val="00F36581"/>
    <w:rsid w:val="00F45618"/>
    <w:rsid w:val="00F737D2"/>
    <w:rsid w:val="00F818A5"/>
    <w:rsid w:val="00F92EB9"/>
    <w:rsid w:val="00FA681B"/>
    <w:rsid w:val="00FB098C"/>
    <w:rsid w:val="00FB2C6B"/>
    <w:rsid w:val="00FB37A2"/>
    <w:rsid w:val="00FD3738"/>
    <w:rsid w:val="00F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74FD8476-B967-4177-A80A-AB9FC426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4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65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0DE0"/>
  </w:style>
  <w:style w:type="paragraph" w:styleId="a7">
    <w:name w:val="footer"/>
    <w:basedOn w:val="a"/>
    <w:link w:val="a8"/>
    <w:uiPriority w:val="99"/>
    <w:unhideWhenUsed/>
    <w:rsid w:val="00D4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0DE0"/>
  </w:style>
  <w:style w:type="paragraph" w:styleId="a9">
    <w:name w:val="Balloon Text"/>
    <w:basedOn w:val="a"/>
    <w:link w:val="aa"/>
    <w:uiPriority w:val="99"/>
    <w:semiHidden/>
    <w:unhideWhenUsed/>
    <w:rsid w:val="002D4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F5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C02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020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020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02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020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C0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6B5A-9B45-4942-9DEC-BBD23498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Мария Анатольевна</dc:creator>
  <cp:lastModifiedBy>user</cp:lastModifiedBy>
  <cp:revision>2</cp:revision>
  <cp:lastPrinted>2021-10-01T03:33:00Z</cp:lastPrinted>
  <dcterms:created xsi:type="dcterms:W3CDTF">2021-10-11T09:32:00Z</dcterms:created>
  <dcterms:modified xsi:type="dcterms:W3CDTF">2021-10-11T09:32:00Z</dcterms:modified>
</cp:coreProperties>
</file>