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093" w:rsidRPr="00F63093" w:rsidRDefault="00F63093" w:rsidP="00F63093">
      <w:pPr>
        <w:jc w:val="both"/>
        <w:rPr>
          <w:rFonts w:ascii="Times New Roman" w:hAnsi="Times New Roman" w:cs="Times New Roman"/>
          <w:sz w:val="28"/>
          <w:szCs w:val="28"/>
        </w:rPr>
      </w:pPr>
      <w:r w:rsidRPr="00F63093">
        <w:rPr>
          <w:rFonts w:ascii="Times New Roman" w:hAnsi="Times New Roman" w:cs="Times New Roman"/>
          <w:sz w:val="28"/>
          <w:szCs w:val="28"/>
        </w:rPr>
        <w:t>Бюджет</w:t>
      </w:r>
      <w:r w:rsidR="006B3E13">
        <w:rPr>
          <w:rFonts w:ascii="Times New Roman" w:hAnsi="Times New Roman" w:cs="Times New Roman"/>
          <w:sz w:val="28"/>
          <w:szCs w:val="28"/>
        </w:rPr>
        <w:t>ный кодекс Российской Федерации</w:t>
      </w:r>
      <w:r w:rsidRPr="00F63093">
        <w:rPr>
          <w:rFonts w:ascii="Times New Roman" w:hAnsi="Times New Roman" w:cs="Times New Roman"/>
          <w:sz w:val="28"/>
          <w:szCs w:val="28"/>
        </w:rPr>
        <w:t xml:space="preserve"> от 31.07.1998 N 145-ФЗ</w:t>
      </w:r>
    </w:p>
    <w:p w:rsidR="00F63093" w:rsidRPr="00F63093" w:rsidRDefault="00F63093" w:rsidP="00F63093">
      <w:pPr>
        <w:jc w:val="both"/>
        <w:rPr>
          <w:rFonts w:ascii="Times New Roman" w:hAnsi="Times New Roman" w:cs="Times New Roman"/>
          <w:sz w:val="28"/>
          <w:szCs w:val="28"/>
        </w:rPr>
      </w:pPr>
      <w:r w:rsidRPr="00F63093">
        <w:rPr>
          <w:rFonts w:ascii="Times New Roman" w:hAnsi="Times New Roman" w:cs="Times New Roman"/>
          <w:sz w:val="28"/>
          <w:szCs w:val="28"/>
        </w:rPr>
        <w:t>Статья 242.13-1. Казначейский мониторинг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1. Федеральное казначейство в порядке, установленном Правительством Российской Федерации, с соблюдением положений и требований, определенных настоящей статьей, проводит казначейский мониторинг (далее в настоящей статье - порядок проведения казначейского мониторинга)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казначейства, финансовых органах субъектов Российской Федерации (муниципальных образований), органах управления государственными внебюджетными фондами Российской Федерации и при осуществлении операций на указанных лицевых счетах.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2. Федеральное казначейство в ходе проведения казначейского мониторинга, предусмотренного пунктом 1 настоящей статьи,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лица, индивидуального предпринимателя, физического лица - производителя товаров, работ, услуг, получающих денежные средства от участника системы казначейских платежей, информации: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1)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2) о решении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3) в реестре иностранных агентов;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4)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5) о нахождении под контролем юридического лица или физического лица, включенных в перечни, указанные в подпункте 1 настоящего пункта, или в отношении которых вынесено решение, указанное в подпункте 2 настоящего пункта, или в отношении которых применяются меры, указанные в подпункте 4 настоящего пункта;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6) о включении лица, имеющего право без доверенности действовать от имени юридического лица, в перечни и (или) в реестр, указанные соответственно в подпунктах 1 и 3 настоящего пункта, или о вынесении в отношении такого лица решения, указанного в подпункте 2 настоящего пункта, или о применении в отношении такого лица мер, указанных в подпункте 4 настоящего пункта;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7)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8) о признании банкротом юридического лица, индивидуального предпринимателя, физического лица - производителя товаров, работ, услуг;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9) о признаках финансовых нарушений, включенных в классификатор признаков финансовых нарушений участников системы казначейских платежей, формирование и ведение которого осуществляются Федеральным казначейством в порядке, установленном Министерством финансов Российской Федерации по согласованию с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(далее в настоящей статье - классификатор признаков финансовых нарушений).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3. Федеральное казначейство по результатам проверки наличия информации, предусмотренной подпунктами 1 - 8 пункта 2 настоящей статьи, в случаях, указанных в пунктах 4, 5, 8 и 9 настоящей статьи, применяет в отношении участников системы казначейских платежей следующие меры реагирования: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1) отказ в открытии лицевого счета;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2) приостановление открытия лицевого счета;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3) запрет осуществления операций на лицевом счете;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4) отказ в осуществлении операции на лицевом счете.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4. Основанием для отказа в открытии лицевого счета получателю средств из бюджета, участнику казначейского сопровождения (за исключением поставщика (подрядчика, исполнителя) по государственному (муниципальному) контракту) является наличие в отношении получателя средств из бюджета, участника казначейского сопровождения информации, указанной в подпунктах 1 - 6 пункта 2 настоящей статьи.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5. Основанием для приостановления открытия лицевого счета получателю средств из бюджета, участнику казначейского сопровождения (за исключением поставщика (подрядчика, исполнителя) по государственному (муниципальному) контракту) является наличие информации, указанной в подпунктах 7 и 8 пункта 2 настоящей статьи.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6. Федеральное казначейство по результатам проверки наличия информации, указанной в подпунктах 7 и 8 пункта 2 настоящей статьи, информирует главного распорядителя бюджетных средств, предоставившего субсидию (бюджетные инвестиции) (далее в настоящей статье - главный распорядитель бюджетных средств), получателя субсидии (бюджетных инвестиций), поставщика (подрядчика, исполнителя) по государственному (муниципальному) контракту, контракту (договору), являющегося заказчиком по контракту (договору) (далее в настоящей статье - заказчик по контракту (договору), о приостановлении открытия лицевого счета в соответствии с порядком проведения казначейского мониторинга.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7. Федеральное казначейство, финансовый орган субъекта Российской Федерации (муниципального образования) в соответствии с решением главного распорядителя бюджетных средств или заказчика по контракту (договору), принятым в соответствии с порядком проведения казначейского мониторинга на основании информации, полученной в соответствии с пунктом 6 настоящей статьи, осуществляют открытие лицевого счета или возвращают получателю средств из бюджета, участнику казначейского сопровождения (за исключением поставщика (подрядчика, исполнителя) по государственному (муниципальному) контракту) документы, представленные в соответствии с порядком открытия лицевых счетов.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8. Основанием для запрета осуществления операций на лицевом счете получателя средств из бюджета, участника казначейского сопровождения (за исключением поставщика (подрядчика, исполнителя) по государственному (муниципальному) контракту) является наличие в отношении его информации, указанной в подпунктах 1 - 6 пункта 2 настоящей статьи.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9.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участника системы казначейских платежей, информации, указанной в подпунктах 1 - 6 пункта 2 настоящей статьи.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10. Федеральное казначейство по результатам проверки наличия оснований для применения мер реагирования, предусмотренных пунктами 4, 8 и 9 настоящей статьи, в соответствии с порядком проведения казначейского мониторинга информирует участников системы казначейских платежей об отказе в открытии лицевого счета, о запрете осуществления операций на лицевом счете и об отказе в осуществлении операции на лицевом счете.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11. 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реагирования, предусмотренных подпунктами 1 и 3 пункта 3 настоящей статьи, в случае наличия оснований, предусмотренных пунктами 4 и 8 настоящей статьи, вправе принять решение об одностороннем отказе от исполнения договора (соглашения) о предоставлении субсидии (бюджетных инвестиций).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12. Остаток средств, полученных на основании договора (соглашения) о предоставлении субсидии (бюджетных инвестиций), не использованный на момент принятия решения об одностороннем отказе от исполнения договора (соглашения) о предоставлении субсидии (бюджетных инвестиций), подлежит возврату в соответствующий бюджет бюджетной системы Российской Федерации в соответствии с порядком проведения казначейского мониторинга.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 xml:space="preserve">13. В случае </w:t>
      </w:r>
      <w:proofErr w:type="spellStart"/>
      <w:r w:rsidRPr="00542962">
        <w:rPr>
          <w:rFonts w:ascii="Times New Roman" w:hAnsi="Times New Roman" w:cs="Times New Roman"/>
          <w:sz w:val="28"/>
          <w:szCs w:val="28"/>
        </w:rPr>
        <w:t>неперечисления</w:t>
      </w:r>
      <w:proofErr w:type="spellEnd"/>
      <w:r w:rsidRPr="00542962">
        <w:rPr>
          <w:rFonts w:ascii="Times New Roman" w:hAnsi="Times New Roman" w:cs="Times New Roman"/>
          <w:sz w:val="28"/>
          <w:szCs w:val="28"/>
        </w:rPr>
        <w:t xml:space="preserve"> получателем субсидии (бюджетных инвестиций) в соответствии с пунктом 12 настоящей статьи неиспользованного остатка средств указанные средства подлежат возврату Федеральным казначейством, финансовым органом субъекта Российской Федерации (муниципального образования) в соответствующий бюджет бюджетной системы Российской Федерации в соответствии с порядком проведения казначейского мониторинга.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14. Федеральное казначейство по результатам проверки наличия признаков финансовых нарушений, включенных в классификатор признаков финансовых нарушений, применяет в соответствии с порядком проведения казначейского мониторинга следующие меры реагирования в отношении участников системы казначейских платежей: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1) приостановление операции на лицевом счете;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2) предупреждение о наличии признаков финансовых нарушений.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15. Федеральное казначейство в порядке, установленном Правительством Российской Федерации, информирует федеральный орган исполнительной власти, осуществляющий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уничтожения: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1) о каждом факте отказа в открытии лицевого счета;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2) о каждом факте запрета осуществления операций на лицевом счете или отказа в осуществлении операции на лицевом счете;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4) о каждой операции по переводу денежных средств на банковские счета, открытые в кредитных организациях получателям средств из бюджета, если сумма совершаемой операции превышает 1 миллион рублей.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16. Федеральное казначейство при осуществлении полномочий, предусмотренных настоящей статьей,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органами, осуществляющими мониторинг, контроль и аудит в сфере закупок, Центральным банком Российской Федерации в случаях и порядке, установленных Правительством Российской Федерации.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17. Обмен информацией, предусмотренной настоящей статьей,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18.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счета, открытые в Центральном банке Российской Федерации и в кредитных организациях, за исключением случаев: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1) перевода денежных средств на банковские счета, открытые в соответствии с положениями статей 155 и 156 настоящего Кодекса;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2) выплат физическим лицам, в том числе по оплате труда (денежного содержания, денежного вознаграждения, денежного довольствия, заработной платы) с учетом начислений и социальных выплат, иных выплат в пользу работников, выплат лицам, не состоящим в штате юридического лица, привлеченным для достижения цели, определенной при предоставлении средств, а также выплат на социальное обеспечение и иных выплат населению;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3) перевода денежных средств, в том числе в иностранной валюте, на счет получателя бюджетных средств, открытый ему в Центральном банке Российской Федерации или в кредитной организации;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4) возврата излишне уплаченных (взысканных) платежей в бюджеты бюджетной системы Российской Федерации;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5) перевода денежных средств, направленных на погашение источников финансирования дефицита бюджета;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6) возврата плательщику или перевода средств, поступивших во временное распоряжение получателя бюджетных средств в соответствии с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законами субъекта Российской Федерации, нормативными правовыми актами высших исполнительных органов субъектов Российской Федерации, муниципальными правовыми актами;</w:t>
      </w:r>
    </w:p>
    <w:p w:rsidR="00542962" w:rsidRPr="00542962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7) перевода денежных средств, подлежащих взысканию на основании исполнительных документов.</w:t>
      </w:r>
    </w:p>
    <w:p w:rsidR="00B4196A" w:rsidRPr="00F63093" w:rsidRDefault="00542962" w:rsidP="00542962">
      <w:pPr>
        <w:jc w:val="both"/>
        <w:rPr>
          <w:rFonts w:ascii="Times New Roman" w:hAnsi="Times New Roman" w:cs="Times New Roman"/>
          <w:sz w:val="28"/>
          <w:szCs w:val="28"/>
        </w:rPr>
      </w:pPr>
      <w:r w:rsidRPr="00542962">
        <w:rPr>
          <w:rFonts w:ascii="Times New Roman" w:hAnsi="Times New Roman" w:cs="Times New Roman"/>
          <w:sz w:val="28"/>
          <w:szCs w:val="28"/>
        </w:rPr>
        <w:t>19. Финансовые органы субъектов Российской Федерации (муниципальных образований),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мониторинга.</w:t>
      </w:r>
      <w:bookmarkStart w:id="0" w:name="_GoBack"/>
      <w:bookmarkEnd w:id="0"/>
    </w:p>
    <w:sectPr w:rsidR="00B4196A" w:rsidRPr="00F6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93"/>
    <w:rsid w:val="004D1B1A"/>
    <w:rsid w:val="00542962"/>
    <w:rsid w:val="006B3E13"/>
    <w:rsid w:val="00B4196A"/>
    <w:rsid w:val="00F63093"/>
    <w:rsid w:val="00FC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2BC49-2484-49DD-BB8E-D36A8A5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ё"/>
    <w:basedOn w:val="a"/>
    <w:link w:val="a4"/>
    <w:qFormat/>
    <w:rsid w:val="00FC242E"/>
    <w:rPr>
      <w:rFonts w:ascii="Times New Roman" w:hAnsi="Times New Roman"/>
      <w:sz w:val="28"/>
    </w:rPr>
  </w:style>
  <w:style w:type="character" w:customStyle="1" w:styleId="a4">
    <w:name w:val="моё Знак"/>
    <w:basedOn w:val="a0"/>
    <w:link w:val="a3"/>
    <w:rsid w:val="00FC242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Горожанина Анна Владимировна</dc:creator>
  <cp:keywords/>
  <dc:description/>
  <cp:lastModifiedBy>Горожанина Анна Владимировна</cp:lastModifiedBy>
  <cp:revision>3</cp:revision>
  <dcterms:created xsi:type="dcterms:W3CDTF">2026-08-28T11:25:00Z</dcterms:created>
  <dcterms:modified xsi:type="dcterms:W3CDTF">2026-08-31T11:43:00Z</dcterms:modified>
</cp:coreProperties>
</file>