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2A" w:rsidRPr="000D772E" w:rsidRDefault="00EC6BAF" w:rsidP="00BE4168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72E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документов, представляемых </w:t>
      </w:r>
      <w:r w:rsidR="004E0508" w:rsidRPr="000D772E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D7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главным администратором бюджетных средств⃰</w:t>
      </w:r>
    </w:p>
    <w:p w:rsidR="0028292A" w:rsidRPr="00957EB2" w:rsidRDefault="0028292A" w:rsidP="00815ADF">
      <w:pPr>
        <w:spacing w:after="0" w:line="48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8292A" w:rsidRPr="000D772E" w:rsidRDefault="0049455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>Ведомственные (внутренние)</w:t>
      </w:r>
      <w:r w:rsidR="00EC6BAF" w:rsidRPr="000D772E">
        <w:rPr>
          <w:rFonts w:ascii="Times New Roman" w:eastAsia="Calibri" w:hAnsi="Times New Roman" w:cs="Times New Roman"/>
          <w:sz w:val="28"/>
          <w:szCs w:val="28"/>
        </w:rPr>
        <w:t xml:space="preserve"> акты главного администратора бюджетных средств</w:t>
      </w:r>
      <w:r w:rsidR="004B71B1" w:rsidRPr="000D772E">
        <w:rPr>
          <w:rFonts w:ascii="Times New Roman" w:eastAsia="Calibri" w:hAnsi="Times New Roman" w:cs="Times New Roman"/>
          <w:sz w:val="28"/>
          <w:szCs w:val="28"/>
        </w:rPr>
        <w:t xml:space="preserve"> (далее</w:t>
      </w:r>
      <w:r w:rsidR="00D051F2" w:rsidRPr="000D772E">
        <w:rPr>
          <w:rFonts w:ascii="Times New Roman" w:eastAsia="Calibri" w:hAnsi="Times New Roman" w:cs="Times New Roman"/>
          <w:sz w:val="28"/>
          <w:szCs w:val="28"/>
        </w:rPr>
        <w:t> </w:t>
      </w:r>
      <w:r w:rsidR="004B71B1" w:rsidRPr="000D772E">
        <w:rPr>
          <w:rFonts w:ascii="Times New Roman" w:eastAsia="Calibri" w:hAnsi="Times New Roman" w:cs="Times New Roman"/>
          <w:sz w:val="28"/>
          <w:szCs w:val="28"/>
        </w:rPr>
        <w:t>–</w:t>
      </w:r>
      <w:r w:rsidR="00D051F2" w:rsidRPr="000D772E">
        <w:rPr>
          <w:rFonts w:ascii="Times New Roman" w:eastAsia="Calibri" w:hAnsi="Times New Roman" w:cs="Times New Roman"/>
          <w:sz w:val="28"/>
          <w:szCs w:val="28"/>
        </w:rPr>
        <w:t xml:space="preserve"> главный </w:t>
      </w:r>
      <w:r w:rsidR="004B71B1" w:rsidRPr="000D772E">
        <w:rPr>
          <w:rFonts w:ascii="Times New Roman" w:eastAsia="Calibri" w:hAnsi="Times New Roman" w:cs="Times New Roman"/>
          <w:sz w:val="28"/>
          <w:szCs w:val="28"/>
        </w:rPr>
        <w:t>администратор)</w:t>
      </w:r>
      <w:r w:rsidR="00EC6BAF" w:rsidRPr="000D772E">
        <w:rPr>
          <w:rFonts w:ascii="Times New Roman" w:eastAsia="Calibri" w:hAnsi="Times New Roman" w:cs="Times New Roman"/>
          <w:sz w:val="28"/>
          <w:szCs w:val="28"/>
        </w:rPr>
        <w:t xml:space="preserve">, которыми: </w:t>
      </w:r>
    </w:p>
    <w:p w:rsidR="003A3178" w:rsidRPr="000D772E" w:rsidRDefault="003A3178" w:rsidP="003A3178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>– определен</w:t>
      </w:r>
      <w:r w:rsidR="0049455E" w:rsidRPr="000D772E">
        <w:rPr>
          <w:rFonts w:ascii="Times New Roman" w:eastAsia="Calibri" w:hAnsi="Times New Roman" w:cs="Times New Roman"/>
          <w:sz w:val="28"/>
          <w:szCs w:val="28"/>
        </w:rPr>
        <w:t>ы</w:t>
      </w:r>
      <w:r w:rsidRPr="000D7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455E" w:rsidRPr="000D772E">
        <w:rPr>
          <w:rFonts w:ascii="Times New Roman" w:eastAsia="Calibri" w:hAnsi="Times New Roman" w:cs="Times New Roman"/>
          <w:sz w:val="28"/>
          <w:szCs w:val="28"/>
        </w:rPr>
        <w:t>особенности применения федеральных стандартов</w:t>
      </w:r>
      <w:r w:rsidRPr="000D772E">
        <w:rPr>
          <w:rFonts w:ascii="Times New Roman" w:eastAsia="Calibri" w:hAnsi="Times New Roman" w:cs="Times New Roman"/>
          <w:sz w:val="28"/>
          <w:szCs w:val="28"/>
        </w:rPr>
        <w:t xml:space="preserve"> внутреннего финансового аудита</w:t>
      </w:r>
      <w:r w:rsidR="0049455E" w:rsidRPr="000D7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455E" w:rsidRPr="000D772E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  <w:r w:rsidRPr="000D772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45DF" w:rsidRPr="000D772E" w:rsidRDefault="00806E24" w:rsidP="0049455E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>– определен субъект внутреннего финансового аудита (</w:t>
      </w:r>
      <w:r w:rsidR="0049455E" w:rsidRPr="000D772E">
        <w:rPr>
          <w:rFonts w:ascii="Times New Roman" w:eastAsia="Calibri" w:hAnsi="Times New Roman" w:cs="Times New Roman"/>
          <w:sz w:val="28"/>
          <w:szCs w:val="28"/>
        </w:rPr>
        <w:t>приказ или распоряжение об образовании (создании, преобразовании, наделении полномочиями) субъекта</w:t>
      </w:r>
      <w:r w:rsidR="00EC6BAF" w:rsidRPr="000D772E">
        <w:rPr>
          <w:rFonts w:ascii="Times New Roman" w:eastAsia="Calibri" w:hAnsi="Times New Roman" w:cs="Times New Roman"/>
          <w:sz w:val="28"/>
          <w:szCs w:val="28"/>
        </w:rPr>
        <w:t xml:space="preserve"> внутреннего финансового аудита</w:t>
      </w:r>
      <w:r w:rsidRPr="000D772E">
        <w:rPr>
          <w:rFonts w:ascii="Times New Roman" w:eastAsia="Calibri" w:hAnsi="Times New Roman" w:cs="Times New Roman"/>
          <w:sz w:val="28"/>
          <w:szCs w:val="28"/>
        </w:rPr>
        <w:t>)</w:t>
      </w:r>
      <w:r w:rsidR="00F945DF" w:rsidRPr="000D77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2C7A" w:rsidRPr="000D772E" w:rsidRDefault="00AE3EF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 xml:space="preserve">Копия плана </w:t>
      </w:r>
      <w:r w:rsidR="003069FC" w:rsidRPr="000D772E">
        <w:rPr>
          <w:rFonts w:ascii="Times New Roman" w:eastAsia="Calibri" w:hAnsi="Times New Roman" w:cs="Times New Roman"/>
          <w:sz w:val="28"/>
          <w:szCs w:val="28"/>
        </w:rPr>
        <w:t>проведения аудиторских мероприятий на 2020</w:t>
      </w:r>
      <w:r w:rsidR="00F92C7A" w:rsidRPr="000D772E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1361F8" w:rsidRPr="000D772E">
        <w:rPr>
          <w:rFonts w:ascii="Times New Roman" w:eastAsia="Calibri" w:hAnsi="Times New Roman" w:cs="Times New Roman"/>
          <w:sz w:val="28"/>
          <w:szCs w:val="28"/>
        </w:rPr>
        <w:br/>
      </w:r>
      <w:r w:rsidR="00F92C7A" w:rsidRPr="000D772E">
        <w:rPr>
          <w:rFonts w:ascii="Times New Roman" w:eastAsia="Calibri" w:hAnsi="Times New Roman" w:cs="Times New Roman"/>
          <w:i/>
          <w:sz w:val="28"/>
          <w:szCs w:val="28"/>
        </w:rPr>
        <w:t>(с изменениями при наличии)</w:t>
      </w:r>
      <w:r w:rsidR="00F92C7A" w:rsidRPr="000D77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EFE" w:rsidRPr="000D772E" w:rsidRDefault="00AE3EF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>Копия плана проведения аудиторских мероприятий на 2021 год</w:t>
      </w:r>
      <w:r w:rsidR="00E6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6A6D" w:rsidRPr="000D772E">
        <w:rPr>
          <w:rFonts w:ascii="Times New Roman" w:eastAsia="Calibri" w:hAnsi="Times New Roman" w:cs="Times New Roman"/>
          <w:sz w:val="28"/>
          <w:szCs w:val="28"/>
        </w:rPr>
        <w:br/>
      </w:r>
      <w:r w:rsidRPr="000D772E">
        <w:rPr>
          <w:rFonts w:ascii="Times New Roman" w:eastAsia="Calibri" w:hAnsi="Times New Roman" w:cs="Times New Roman"/>
          <w:i/>
          <w:sz w:val="28"/>
          <w:szCs w:val="28"/>
        </w:rPr>
        <w:t>(с изменениями при наличии)</w:t>
      </w:r>
      <w:r w:rsidRPr="000D77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2C7A" w:rsidRPr="000D772E" w:rsidRDefault="00F92C7A" w:rsidP="00AE3EF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 xml:space="preserve">Копии </w:t>
      </w:r>
      <w:r w:rsidR="003069FC" w:rsidRPr="000D772E">
        <w:rPr>
          <w:rFonts w:ascii="Times New Roman" w:eastAsia="Calibri" w:hAnsi="Times New Roman" w:cs="Times New Roman"/>
          <w:sz w:val="28"/>
          <w:szCs w:val="28"/>
        </w:rPr>
        <w:t>заключений</w:t>
      </w:r>
      <w:r w:rsidR="00A27137" w:rsidRPr="000D7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2B0E" w:rsidRPr="000D772E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="00A27137" w:rsidRPr="000D772E">
        <w:rPr>
          <w:rFonts w:ascii="Times New Roman" w:eastAsia="Calibri" w:hAnsi="Times New Roman" w:cs="Times New Roman"/>
          <w:sz w:val="28"/>
          <w:szCs w:val="28"/>
        </w:rPr>
        <w:t xml:space="preserve">аудиторских </w:t>
      </w:r>
      <w:r w:rsidR="008B744A" w:rsidRPr="000D772E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3069FC" w:rsidRPr="000D772E">
        <w:rPr>
          <w:rFonts w:ascii="Times New Roman" w:eastAsia="Calibri" w:hAnsi="Times New Roman" w:cs="Times New Roman"/>
          <w:sz w:val="28"/>
          <w:szCs w:val="28"/>
        </w:rPr>
        <w:t xml:space="preserve">, проведенных </w:t>
      </w:r>
      <w:r w:rsidR="004E0508" w:rsidRPr="000D772E">
        <w:rPr>
          <w:rFonts w:ascii="Times New Roman" w:eastAsia="Calibri" w:hAnsi="Times New Roman" w:cs="Times New Roman"/>
          <w:sz w:val="28"/>
          <w:szCs w:val="28"/>
        </w:rPr>
        <w:br/>
      </w:r>
      <w:r w:rsidR="003069FC" w:rsidRPr="000D772E">
        <w:rPr>
          <w:rFonts w:ascii="Times New Roman" w:eastAsia="Calibri" w:hAnsi="Times New Roman" w:cs="Times New Roman"/>
          <w:sz w:val="28"/>
          <w:szCs w:val="28"/>
        </w:rPr>
        <w:t>в 2020 году и в текущем периоде 2021</w:t>
      </w:r>
      <w:r w:rsidR="00A27137" w:rsidRPr="000D772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AE3EFE" w:rsidRPr="000D772E">
        <w:rPr>
          <w:rFonts w:ascii="Times New Roman" w:eastAsia="Calibri" w:hAnsi="Times New Roman" w:cs="Times New Roman"/>
          <w:sz w:val="28"/>
          <w:szCs w:val="28"/>
        </w:rPr>
        <w:t>, а также</w:t>
      </w:r>
      <w:r w:rsidR="003069FC" w:rsidRPr="000D7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3EFE" w:rsidRPr="000D772E">
        <w:rPr>
          <w:rFonts w:ascii="Times New Roman" w:eastAsia="Calibri" w:hAnsi="Times New Roman" w:cs="Times New Roman"/>
          <w:sz w:val="28"/>
          <w:szCs w:val="28"/>
        </w:rPr>
        <w:t xml:space="preserve">копии документов, подтверждающих направление руководителю главного администратора указанных заключений </w:t>
      </w:r>
      <w:r w:rsidR="003069FC" w:rsidRPr="000D772E">
        <w:rPr>
          <w:rFonts w:ascii="Times New Roman" w:eastAsia="Calibri" w:hAnsi="Times New Roman" w:cs="Times New Roman"/>
          <w:i/>
          <w:sz w:val="28"/>
          <w:szCs w:val="28"/>
        </w:rPr>
        <w:t xml:space="preserve">(по состоянию на </w:t>
      </w:r>
      <w:r w:rsidR="00AE3EFE" w:rsidRPr="000D772E">
        <w:rPr>
          <w:rFonts w:ascii="Times New Roman" w:eastAsia="Calibri" w:hAnsi="Times New Roman" w:cs="Times New Roman"/>
          <w:i/>
          <w:sz w:val="28"/>
          <w:szCs w:val="28"/>
        </w:rPr>
        <w:t xml:space="preserve">30 </w:t>
      </w:r>
      <w:r w:rsidR="003069FC" w:rsidRPr="000D772E">
        <w:rPr>
          <w:rFonts w:ascii="Times New Roman" w:eastAsia="Calibri" w:hAnsi="Times New Roman" w:cs="Times New Roman"/>
          <w:i/>
          <w:sz w:val="28"/>
          <w:szCs w:val="28"/>
        </w:rPr>
        <w:t>сентября 2021 года)</w:t>
      </w:r>
      <w:r w:rsidR="00A27137" w:rsidRPr="000D77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EFE" w:rsidRPr="000D772E" w:rsidRDefault="00AE3EFE" w:rsidP="00AE3E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 xml:space="preserve">Копии решений руководителя главного администратора по результатам рассмотрения заключений о результатах аудиторских мероприятий, проведенных в 2020 году и в текущем периоде 2021 года </w:t>
      </w:r>
      <w:r w:rsidRPr="000D772E">
        <w:rPr>
          <w:rFonts w:ascii="Times New Roman" w:eastAsia="Calibri" w:hAnsi="Times New Roman" w:cs="Times New Roman"/>
          <w:i/>
          <w:sz w:val="28"/>
          <w:szCs w:val="28"/>
        </w:rPr>
        <w:t>(по состоянию на 30 сентября 2021 года).</w:t>
      </w:r>
    </w:p>
    <w:p w:rsidR="00DB3F1E" w:rsidRPr="000D772E" w:rsidRDefault="00DB3F1E" w:rsidP="00AE3EF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>Копия годовой отчетности о результатах деятельности субъекта внутреннего финансового аудита за 2019 год</w:t>
      </w:r>
      <w:r w:rsidR="00AE3EFE" w:rsidRPr="000D772E">
        <w:rPr>
          <w:rFonts w:ascii="Times New Roman" w:eastAsia="Calibri" w:hAnsi="Times New Roman" w:cs="Times New Roman"/>
          <w:sz w:val="28"/>
          <w:szCs w:val="28"/>
        </w:rPr>
        <w:t xml:space="preserve">, а также копия документа, подтверждающего направление руководителю главного администратора указанной отчетности </w:t>
      </w:r>
      <w:r w:rsidR="004B71B1" w:rsidRPr="000D772E">
        <w:rPr>
          <w:rFonts w:ascii="Times New Roman" w:eastAsia="Calibri" w:hAnsi="Times New Roman" w:cs="Times New Roman"/>
          <w:i/>
          <w:sz w:val="28"/>
          <w:szCs w:val="28"/>
        </w:rPr>
        <w:t>(при наличии решений руководителя главного администратора по итогам ее рассмотрения</w:t>
      </w:r>
      <w:r w:rsidR="00AE3EFE" w:rsidRPr="000D772E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D77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EFE" w:rsidRPr="000D772E" w:rsidRDefault="00AE3EFE" w:rsidP="003C0E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>Копия годовой отчетности о результатах деятельности субъекта внутреннего финансового аудита за 2020 год,</w:t>
      </w:r>
      <w:r w:rsidRPr="000D772E">
        <w:rPr>
          <w:sz w:val="28"/>
          <w:szCs w:val="28"/>
        </w:rPr>
        <w:t xml:space="preserve"> </w:t>
      </w:r>
      <w:r w:rsidRPr="000D772E">
        <w:rPr>
          <w:rFonts w:ascii="Times New Roman" w:eastAsia="Calibri" w:hAnsi="Times New Roman" w:cs="Times New Roman"/>
          <w:sz w:val="28"/>
          <w:szCs w:val="28"/>
        </w:rPr>
        <w:t>а также копия документа, подтверждающего направление руководителю главного администратора указанной отчетности.</w:t>
      </w:r>
    </w:p>
    <w:p w:rsidR="00E65F43" w:rsidRPr="000D772E" w:rsidRDefault="00AE3EFE" w:rsidP="002349E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>Копии решений руководителя главного администратора по результатам рассмотрения</w:t>
      </w:r>
      <w:r w:rsidRPr="000D772E" w:rsidDel="00AE3E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EB2" w:rsidRPr="000D772E">
        <w:rPr>
          <w:rFonts w:ascii="Times New Roman" w:eastAsia="Calibri" w:hAnsi="Times New Roman" w:cs="Times New Roman"/>
          <w:sz w:val="28"/>
          <w:szCs w:val="28"/>
        </w:rPr>
        <w:t>годовой отчетности о результатах деятельности субъекта внутреннего финансового аудита за 2019 год и за 2020 год</w:t>
      </w:r>
      <w:r w:rsidR="004B71B1" w:rsidRPr="000D7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71B1" w:rsidRPr="000D772E">
        <w:rPr>
          <w:rFonts w:ascii="Times New Roman" w:eastAsia="Calibri" w:hAnsi="Times New Roman" w:cs="Times New Roman"/>
          <w:i/>
          <w:sz w:val="28"/>
          <w:szCs w:val="28"/>
        </w:rPr>
        <w:t>(при наличии</w:t>
      </w:r>
      <w:r w:rsidRPr="000D772E">
        <w:rPr>
          <w:rFonts w:ascii="Times New Roman" w:eastAsia="Calibri" w:hAnsi="Times New Roman" w:cs="Times New Roman"/>
          <w:i/>
          <w:sz w:val="28"/>
          <w:szCs w:val="28"/>
        </w:rPr>
        <w:t xml:space="preserve"> решений</w:t>
      </w:r>
      <w:r w:rsidR="004B71B1" w:rsidRPr="000D772E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8B744A" w:rsidRPr="000D77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F43" w:rsidRPr="000D772E" w:rsidRDefault="00E65F43" w:rsidP="00E65F4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 xml:space="preserve">Копии </w:t>
      </w:r>
      <w:r w:rsidR="00B8402F" w:rsidRPr="000D772E">
        <w:rPr>
          <w:rFonts w:ascii="Times New Roman" w:eastAsia="Calibri" w:hAnsi="Times New Roman" w:cs="Times New Roman"/>
          <w:sz w:val="28"/>
          <w:szCs w:val="28"/>
        </w:rPr>
        <w:t>документов, подтверждающих проведение должностными лицами (работниками) субъекта внутреннего финансового аудита мониторинга реализации субъектами бюджетных процедур мер по повышению качества финансового менеджмента и минимизации (устранению) бюджетных рисков</w:t>
      </w:r>
      <w:r w:rsidR="00DB3F1E" w:rsidRPr="000D77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D9F" w:rsidRPr="000D772E">
        <w:rPr>
          <w:rFonts w:ascii="Times New Roman" w:eastAsia="Calibri" w:hAnsi="Times New Roman" w:cs="Times New Roman"/>
          <w:sz w:val="28"/>
          <w:szCs w:val="28"/>
        </w:rPr>
        <w:br/>
      </w:r>
      <w:r w:rsidR="00DB3F1E" w:rsidRPr="000D772E">
        <w:rPr>
          <w:rFonts w:ascii="Times New Roman" w:eastAsia="Calibri" w:hAnsi="Times New Roman" w:cs="Times New Roman"/>
          <w:i/>
          <w:sz w:val="28"/>
          <w:szCs w:val="28"/>
        </w:rPr>
        <w:t>(по состоянию на 3</w:t>
      </w:r>
      <w:r w:rsidR="002349E3" w:rsidRPr="000D772E">
        <w:rPr>
          <w:rFonts w:ascii="Times New Roman" w:eastAsia="Calibri" w:hAnsi="Times New Roman" w:cs="Times New Roman"/>
          <w:i/>
          <w:sz w:val="28"/>
          <w:szCs w:val="28"/>
        </w:rPr>
        <w:t>0</w:t>
      </w:r>
      <w:r w:rsidR="00DB3F1E" w:rsidRPr="000D772E">
        <w:rPr>
          <w:rFonts w:ascii="Times New Roman" w:eastAsia="Calibri" w:hAnsi="Times New Roman" w:cs="Times New Roman"/>
          <w:i/>
          <w:sz w:val="28"/>
          <w:szCs w:val="28"/>
        </w:rPr>
        <w:t xml:space="preserve"> сентября 2021 года)</w:t>
      </w:r>
      <w:r w:rsidRPr="000D77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2C7A" w:rsidRPr="000D772E" w:rsidRDefault="003069FC" w:rsidP="007F1E0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72E">
        <w:rPr>
          <w:rFonts w:ascii="Times New Roman" w:eastAsia="Calibri" w:hAnsi="Times New Roman" w:cs="Times New Roman"/>
          <w:sz w:val="28"/>
          <w:szCs w:val="28"/>
        </w:rPr>
        <w:t xml:space="preserve">Информация о причинах отсутствия сроков выполнения поручений в решениях, принятых по результатам проведения аудиторских мероприятий, либо об отсутствии соответствующих решений руководителя главного </w:t>
      </w:r>
      <w:r w:rsidRPr="000D77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администратора бюджетных средств </w:t>
      </w:r>
      <w:r w:rsidR="00B8402F" w:rsidRPr="000D772E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</w:t>
      </w:r>
      <w:r w:rsidRPr="000D772E">
        <w:rPr>
          <w:rFonts w:ascii="Times New Roman" w:eastAsia="Calibri" w:hAnsi="Times New Roman" w:cs="Times New Roman"/>
          <w:sz w:val="28"/>
          <w:szCs w:val="28"/>
        </w:rPr>
        <w:t xml:space="preserve"> к настоящему перечню документов</w:t>
      </w:r>
      <w:r w:rsidR="00086F36" w:rsidRPr="00086F36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957EB2" w:rsidRPr="000D772E" w:rsidRDefault="00957E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49E3" w:rsidRDefault="002349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C0E97" w:rsidRDefault="003C0E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2E21" w:rsidRDefault="00D12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2E21" w:rsidRDefault="00D12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2E21" w:rsidRDefault="00D12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2E21" w:rsidRDefault="00D12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2E21" w:rsidRDefault="00D12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2E21" w:rsidRDefault="00D12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2E21" w:rsidRDefault="00D12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2E21" w:rsidRDefault="00D12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2E21" w:rsidRDefault="00D12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2E21" w:rsidRDefault="00D12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12E21" w:rsidRDefault="00D12E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349E3" w:rsidRDefault="002349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8292A" w:rsidRDefault="00EC6BAF" w:rsidP="000D772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⃰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представление копий документов не требуется, в случае если: </w:t>
      </w:r>
    </w:p>
    <w:p w:rsidR="0028292A" w:rsidRDefault="00EC6BAF" w:rsidP="000D772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копии документов</w:t>
      </w:r>
      <w:r w:rsidR="00B8402F">
        <w:rPr>
          <w:rFonts w:ascii="Times New Roman" w:hAnsi="Times New Roman" w:cs="Times New Roman"/>
          <w:sz w:val="20"/>
          <w:szCs w:val="20"/>
        </w:rPr>
        <w:t xml:space="preserve"> (с подписью) представлены в </w:t>
      </w:r>
      <w:r w:rsidR="004E0508">
        <w:rPr>
          <w:rFonts w:ascii="Times New Roman" w:hAnsi="Times New Roman" w:cs="Times New Roman"/>
          <w:sz w:val="20"/>
          <w:szCs w:val="20"/>
        </w:rPr>
        <w:t xml:space="preserve">УФК </w:t>
      </w:r>
      <w:r>
        <w:rPr>
          <w:rFonts w:ascii="Times New Roman" w:hAnsi="Times New Roman" w:cs="Times New Roman"/>
          <w:sz w:val="20"/>
          <w:szCs w:val="20"/>
        </w:rPr>
        <w:t xml:space="preserve">в рамках проведения анкетирования главных администраторов </w:t>
      </w:r>
      <w:r w:rsidR="00B8402F">
        <w:rPr>
          <w:rFonts w:ascii="Times New Roman" w:hAnsi="Times New Roman" w:cs="Times New Roman"/>
          <w:sz w:val="20"/>
          <w:szCs w:val="20"/>
        </w:rPr>
        <w:t>бюджетных средств в феврале 2021</w:t>
      </w:r>
      <w:r>
        <w:rPr>
          <w:rFonts w:ascii="Times New Roman" w:hAnsi="Times New Roman" w:cs="Times New Roman"/>
          <w:sz w:val="20"/>
          <w:szCs w:val="20"/>
        </w:rPr>
        <w:t xml:space="preserve"> года (информация о таких документах должна быть отражена </w:t>
      </w:r>
      <w:r w:rsidR="002D2D9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в письме главного администратора бюджетных с</w:t>
      </w:r>
      <w:r w:rsidR="00B8402F">
        <w:rPr>
          <w:rFonts w:ascii="Times New Roman" w:hAnsi="Times New Roman" w:cs="Times New Roman"/>
          <w:sz w:val="20"/>
          <w:szCs w:val="20"/>
        </w:rPr>
        <w:t xml:space="preserve">редств, направляемом в адрес </w:t>
      </w:r>
      <w:r w:rsidR="004E0508">
        <w:rPr>
          <w:rFonts w:ascii="Times New Roman" w:hAnsi="Times New Roman" w:cs="Times New Roman"/>
          <w:sz w:val="20"/>
          <w:szCs w:val="20"/>
        </w:rPr>
        <w:t xml:space="preserve">УФК </w:t>
      </w:r>
      <w:r>
        <w:rPr>
          <w:rFonts w:ascii="Times New Roman" w:hAnsi="Times New Roman" w:cs="Times New Roman"/>
          <w:sz w:val="20"/>
          <w:szCs w:val="20"/>
        </w:rPr>
        <w:t>в ответ на настоящий запрос);</w:t>
      </w:r>
    </w:p>
    <w:p w:rsidR="0028292A" w:rsidRDefault="00EC6BAF" w:rsidP="000D772E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  <w:sectPr w:rsidR="0028292A" w:rsidSect="00132C88">
          <w:headerReference w:type="default" r:id="rId8"/>
          <w:pgSz w:w="11906" w:h="16838"/>
          <w:pgMar w:top="1134" w:right="1134" w:bottom="964" w:left="709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размещены в актуальной редакции в открытом доступе (при этом необходимо указать</w:t>
      </w:r>
      <w:r w:rsidR="005F6929">
        <w:rPr>
          <w:rFonts w:ascii="Times New Roman" w:hAnsi="Times New Roman" w:cs="Times New Roman"/>
          <w:sz w:val="20"/>
          <w:szCs w:val="20"/>
        </w:rPr>
        <w:t xml:space="preserve"> адреса (ссылки) их размещения)</w:t>
      </w:r>
      <w:r w:rsidR="002D2D9F">
        <w:rPr>
          <w:rFonts w:ascii="Times New Roman" w:hAnsi="Times New Roman" w:cs="Times New Roman"/>
          <w:sz w:val="20"/>
          <w:szCs w:val="20"/>
        </w:rPr>
        <w:t>.</w:t>
      </w:r>
    </w:p>
    <w:p w:rsidR="0028292A" w:rsidRDefault="00B8402F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28292A" w:rsidRDefault="00EC6BAF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Перечню документов,</w:t>
      </w:r>
    </w:p>
    <w:p w:rsidR="0028292A" w:rsidRDefault="00EC6BAF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представляемых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администратором бюджетных средств</w:t>
      </w:r>
    </w:p>
    <w:p w:rsidR="0028292A" w:rsidRDefault="0028292A" w:rsidP="007A28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292A" w:rsidRDefault="00EC6BAF" w:rsidP="00B25AB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  <w:r w:rsidRPr="00980C3E">
        <w:rPr>
          <w:rFonts w:ascii="Times New Roman" w:eastAsia="Calibri" w:hAnsi="Times New Roman" w:cs="Times New Roman"/>
          <w:b/>
          <w:sz w:val="24"/>
          <w:szCs w:val="28"/>
        </w:rPr>
        <w:t xml:space="preserve">Информация о </w:t>
      </w:r>
      <w:r w:rsidR="005E7B84">
        <w:rPr>
          <w:rFonts w:ascii="Times New Roman" w:eastAsia="Calibri" w:hAnsi="Times New Roman" w:cs="Times New Roman"/>
          <w:b/>
          <w:sz w:val="24"/>
          <w:szCs w:val="24"/>
        </w:rPr>
        <w:t>причинах</w:t>
      </w:r>
      <w:r w:rsidR="005E7B84" w:rsidRPr="005E7B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E530A" w:rsidRPr="005E7B84">
        <w:rPr>
          <w:rFonts w:ascii="Times New Roman" w:eastAsia="Calibri" w:hAnsi="Times New Roman" w:cs="Times New Roman"/>
          <w:b/>
          <w:sz w:val="24"/>
          <w:szCs w:val="24"/>
        </w:rPr>
        <w:t>отсутствия сроков выполнения</w:t>
      </w:r>
      <w:r w:rsidR="00124D54">
        <w:rPr>
          <w:rFonts w:ascii="Times New Roman" w:eastAsia="Calibri" w:hAnsi="Times New Roman" w:cs="Times New Roman"/>
          <w:b/>
          <w:sz w:val="24"/>
          <w:szCs w:val="24"/>
        </w:rPr>
        <w:t xml:space="preserve"> поручений в</w:t>
      </w:r>
      <w:r w:rsidR="00EE530A" w:rsidRPr="005E7B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E530A">
        <w:rPr>
          <w:rFonts w:ascii="Times New Roman" w:eastAsia="Calibri" w:hAnsi="Times New Roman" w:cs="Times New Roman"/>
          <w:b/>
          <w:sz w:val="24"/>
          <w:szCs w:val="24"/>
        </w:rPr>
        <w:t>решени</w:t>
      </w:r>
      <w:r w:rsidR="00124D54">
        <w:rPr>
          <w:rFonts w:ascii="Times New Roman" w:eastAsia="Calibri" w:hAnsi="Times New Roman" w:cs="Times New Roman"/>
          <w:b/>
          <w:sz w:val="24"/>
          <w:szCs w:val="24"/>
        </w:rPr>
        <w:t>ях</w:t>
      </w:r>
      <w:r w:rsidR="00EE530A">
        <w:rPr>
          <w:rFonts w:ascii="Times New Roman" w:eastAsia="Calibri" w:hAnsi="Times New Roman" w:cs="Times New Roman"/>
          <w:b/>
          <w:sz w:val="24"/>
          <w:szCs w:val="24"/>
        </w:rPr>
        <w:t xml:space="preserve">, принятых </w:t>
      </w:r>
      <w:r w:rsidR="00EE530A" w:rsidRPr="00D70281">
        <w:rPr>
          <w:rFonts w:ascii="Times New Roman" w:eastAsia="Calibri" w:hAnsi="Times New Roman" w:cs="Times New Roman"/>
          <w:b/>
          <w:sz w:val="24"/>
          <w:szCs w:val="24"/>
        </w:rPr>
        <w:t>по результатам проведения аудиторских мероприятий</w:t>
      </w:r>
      <w:r w:rsidR="00EE530A">
        <w:rPr>
          <w:rFonts w:ascii="Times New Roman" w:eastAsia="Calibri" w:hAnsi="Times New Roman" w:cs="Times New Roman"/>
          <w:b/>
          <w:sz w:val="24"/>
          <w:szCs w:val="24"/>
        </w:rPr>
        <w:t xml:space="preserve">, либо об отсутствии </w:t>
      </w:r>
      <w:r w:rsidR="00124D54">
        <w:rPr>
          <w:rFonts w:ascii="Times New Roman" w:eastAsia="Calibri" w:hAnsi="Times New Roman" w:cs="Times New Roman"/>
          <w:b/>
          <w:sz w:val="24"/>
          <w:szCs w:val="24"/>
        </w:rPr>
        <w:t>соответствующих</w:t>
      </w:r>
      <w:r w:rsidR="00EE5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7B84" w:rsidRPr="005E7B84">
        <w:rPr>
          <w:rFonts w:ascii="Times New Roman" w:eastAsia="Calibri" w:hAnsi="Times New Roman" w:cs="Times New Roman"/>
          <w:b/>
          <w:sz w:val="24"/>
          <w:szCs w:val="24"/>
        </w:rPr>
        <w:t xml:space="preserve">решений </w:t>
      </w:r>
      <w:r w:rsidR="005E7B84"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руководителя </w:t>
      </w:r>
      <w:r w:rsidR="005E7B84" w:rsidRPr="005E7B84">
        <w:rPr>
          <w:rFonts w:ascii="Times New Roman" w:eastAsia="Calibri" w:hAnsi="Times New Roman" w:cs="Times New Roman"/>
          <w:b/>
          <w:sz w:val="24"/>
          <w:szCs w:val="24"/>
        </w:rPr>
        <w:t>главного администратора бюджетных средств</w:t>
      </w:r>
      <w:r w:rsidR="00124D54">
        <w:rPr>
          <w:rFonts w:ascii="Times New Roman" w:eastAsia="Calibri" w:hAnsi="Times New Roman" w:cs="Times New Roman"/>
          <w:i/>
          <w:sz w:val="24"/>
          <w:szCs w:val="28"/>
        </w:rPr>
        <w:t>*</w:t>
      </w:r>
      <w:r w:rsidR="005E7B84">
        <w:rPr>
          <w:rFonts w:ascii="Times New Roman" w:eastAsia="Calibri" w:hAnsi="Times New Roman" w:cs="Times New Roman"/>
          <w:i/>
          <w:sz w:val="24"/>
          <w:szCs w:val="28"/>
        </w:rPr>
        <w:br/>
      </w:r>
      <w:r w:rsidR="004304A1" w:rsidRPr="00A73C7B">
        <w:rPr>
          <w:rFonts w:ascii="Times New Roman" w:eastAsia="Calibri" w:hAnsi="Times New Roman" w:cs="Times New Roman"/>
          <w:i/>
          <w:sz w:val="24"/>
          <w:szCs w:val="28"/>
        </w:rPr>
        <w:t>(</w:t>
      </w:r>
      <w:r w:rsidR="00B8402F">
        <w:rPr>
          <w:rFonts w:ascii="Times New Roman" w:eastAsia="Calibri" w:hAnsi="Times New Roman" w:cs="Times New Roman"/>
          <w:i/>
          <w:sz w:val="24"/>
          <w:szCs w:val="28"/>
        </w:rPr>
        <w:t>2020 год</w:t>
      </w:r>
      <w:r w:rsidR="004304A1" w:rsidRPr="00A73C7B">
        <w:rPr>
          <w:rFonts w:ascii="Times New Roman" w:eastAsia="Calibri" w:hAnsi="Times New Roman" w:cs="Times New Roman"/>
          <w:i/>
          <w:sz w:val="24"/>
          <w:szCs w:val="28"/>
        </w:rPr>
        <w:t xml:space="preserve"> – </w:t>
      </w:r>
      <w:r w:rsidR="007F1E0E">
        <w:rPr>
          <w:rFonts w:ascii="Times New Roman" w:eastAsia="Calibri" w:hAnsi="Times New Roman" w:cs="Times New Roman"/>
          <w:i/>
          <w:sz w:val="24"/>
          <w:szCs w:val="28"/>
        </w:rPr>
        <w:t>сентябрь</w:t>
      </w:r>
      <w:r w:rsidR="00B8402F">
        <w:rPr>
          <w:rFonts w:ascii="Times New Roman" w:eastAsia="Calibri" w:hAnsi="Times New Roman" w:cs="Times New Roman"/>
          <w:i/>
          <w:sz w:val="24"/>
          <w:szCs w:val="28"/>
        </w:rPr>
        <w:t xml:space="preserve"> 2021</w:t>
      </w:r>
      <w:r w:rsidR="004304A1" w:rsidRPr="00A73C7B">
        <w:rPr>
          <w:rFonts w:ascii="Times New Roman" w:eastAsia="Calibri" w:hAnsi="Times New Roman" w:cs="Times New Roman"/>
          <w:i/>
          <w:sz w:val="24"/>
          <w:szCs w:val="28"/>
        </w:rPr>
        <w:t xml:space="preserve"> года)</w:t>
      </w:r>
    </w:p>
    <w:p w:rsidR="00B25AB7" w:rsidRPr="00B25AB7" w:rsidRDefault="00B25AB7" w:rsidP="00B25AB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</w:rPr>
      </w:pPr>
    </w:p>
    <w:tbl>
      <w:tblPr>
        <w:tblStyle w:val="2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1701"/>
        <w:gridCol w:w="2410"/>
        <w:gridCol w:w="2410"/>
        <w:gridCol w:w="2551"/>
        <w:gridCol w:w="3799"/>
      </w:tblGrid>
      <w:tr w:rsidR="007A28F6" w:rsidTr="00B25AB7">
        <w:trPr>
          <w:trHeight w:val="1999"/>
        </w:trPr>
        <w:tc>
          <w:tcPr>
            <w:tcW w:w="567" w:type="dxa"/>
          </w:tcPr>
          <w:p w:rsidR="007A28F6" w:rsidRPr="00A27137" w:rsidRDefault="007A28F6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7137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88" w:type="dxa"/>
          </w:tcPr>
          <w:p w:rsidR="007A28F6" w:rsidRPr="00A27137" w:rsidRDefault="00124D54" w:rsidP="007F1E0E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плана </w:t>
            </w:r>
            <w:r w:rsidR="007F1E0E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 аудиторских мероприятий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5777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(либо указывается «внеплановое аудиторское мероприятие»)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7A28F6" w:rsidRPr="00A27137" w:rsidRDefault="00DE5F45" w:rsidP="00331ACF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заключения по результатам проведения аудиторского мероприятия</w:t>
            </w:r>
          </w:p>
        </w:tc>
        <w:tc>
          <w:tcPr>
            <w:tcW w:w="2410" w:type="dxa"/>
          </w:tcPr>
          <w:p w:rsidR="007A28F6" w:rsidRDefault="007A28F6" w:rsidP="00D70281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предложений</w:t>
            </w:r>
            <w:r w:rsidRPr="005E7B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рекомендаций, данных</w:t>
            </w:r>
            <w:r w:rsidRPr="005E7B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r w:rsidR="007F1E0E"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субъектом</w:t>
            </w:r>
            <w:r w:rsidRPr="005E7B8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внутреннего финансового аудита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результатам аудиторского мероприятия</w:t>
            </w:r>
          </w:p>
          <w:p w:rsidR="007A28F6" w:rsidRPr="007A28F6" w:rsidRDefault="007A28F6" w:rsidP="00D70281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A28F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4E050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</w:t>
            </w:r>
            <w:r w:rsidRPr="007A28F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а/нет)</w:t>
            </w:r>
          </w:p>
        </w:tc>
        <w:tc>
          <w:tcPr>
            <w:tcW w:w="2410" w:type="dxa"/>
          </w:tcPr>
          <w:p w:rsidR="007A28F6" w:rsidRPr="00A27137" w:rsidRDefault="007A28F6" w:rsidP="00DE5F45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27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Направление руководителю главного администратора </w:t>
            </w:r>
            <w:r w:rsidR="007F1E0E"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заключения</w:t>
            </w:r>
            <w:r w:rsidRPr="00A27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зультатам проведения аудиторского мероприятия</w:t>
            </w:r>
            <w:r w:rsidRPr="00A2713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2713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4E050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</w:t>
            </w:r>
            <w:r w:rsidRPr="00A2713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а/нет)</w:t>
            </w:r>
          </w:p>
        </w:tc>
        <w:tc>
          <w:tcPr>
            <w:tcW w:w="2551" w:type="dxa"/>
          </w:tcPr>
          <w:p w:rsidR="007A28F6" w:rsidRPr="00A27137" w:rsidRDefault="00124D54" w:rsidP="00DE5F45">
            <w:pPr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</w:t>
            </w:r>
            <w:r w:rsidR="007A28F6" w:rsidRPr="00124D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решений (поручений) руководителя главного администратора, принятых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</w:t>
            </w:r>
            <w:r w:rsidR="007A28F6" w:rsidRPr="00124D54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результатам проведения аудиторского мероприятия</w:t>
            </w:r>
            <w:r w:rsidR="00B5777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7A28F6" w:rsidRPr="00124D54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4E050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а/</w:t>
            </w:r>
            <w:r w:rsidR="004E050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ет</w:t>
            </w:r>
            <w:r w:rsidR="007A28F6" w:rsidRPr="00124D5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799" w:type="dxa"/>
            <w:tcBorders>
              <w:left w:val="nil"/>
            </w:tcBorders>
          </w:tcPr>
          <w:p w:rsidR="007A28F6" w:rsidRPr="00A27137" w:rsidRDefault="007A28F6" w:rsidP="00DE5F45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27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Причины отсутствия </w:t>
            </w:r>
            <w:r w:rsidR="00124D54" w:rsidRPr="00A27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сроков выполнения </w:t>
            </w:r>
            <w:r w:rsidR="00124D54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соответствующих решений (</w:t>
            </w:r>
            <w:r w:rsidR="00124D54" w:rsidRPr="00A27137">
              <w:rPr>
                <w:rFonts w:ascii="Times New Roman" w:eastAsia="Calibri" w:hAnsi="Times New Roman" w:cs="Times New Roman"/>
                <w:sz w:val="20"/>
                <w:szCs w:val="20"/>
              </w:rPr>
              <w:t>поручений</w:t>
            </w:r>
            <w:r w:rsidR="00124D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</w:t>
            </w:r>
            <w:r w:rsidRPr="00A27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главного администратора </w:t>
            </w:r>
            <w:r w:rsidR="00124D54">
              <w:rPr>
                <w:rFonts w:ascii="Times New Roman" w:eastAsia="Calibri" w:hAnsi="Times New Roman" w:cs="Times New Roman"/>
                <w:sz w:val="20"/>
                <w:szCs w:val="20"/>
              </w:rPr>
              <w:t>либо причины отсутствия</w:t>
            </w:r>
            <w:r w:rsidRPr="00A27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24D54" w:rsidRPr="00A27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решений </w:t>
            </w:r>
            <w:r w:rsidR="00124D54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124D54" w:rsidRPr="00A27137">
              <w:rPr>
                <w:rFonts w:ascii="Times New Roman" w:eastAsia="Calibri" w:hAnsi="Times New Roman" w:cs="Times New Roman"/>
                <w:sz w:val="20"/>
                <w:szCs w:val="20"/>
              </w:rPr>
              <w:t>поручений</w:t>
            </w:r>
            <w:r w:rsidR="00124D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7A28F6" w:rsidTr="00507C0F">
        <w:trPr>
          <w:trHeight w:val="241"/>
        </w:trPr>
        <w:tc>
          <w:tcPr>
            <w:tcW w:w="15026" w:type="dxa"/>
            <w:gridSpan w:val="7"/>
          </w:tcPr>
          <w:p w:rsidR="007A28F6" w:rsidRPr="007A28F6" w:rsidRDefault="007F1E0E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2020 год</w:t>
            </w:r>
          </w:p>
        </w:tc>
      </w:tr>
      <w:tr w:rsidR="007A28F6" w:rsidTr="00B57775">
        <w:trPr>
          <w:trHeight w:val="159"/>
        </w:trPr>
        <w:tc>
          <w:tcPr>
            <w:tcW w:w="567" w:type="dxa"/>
          </w:tcPr>
          <w:p w:rsidR="007A28F6" w:rsidRPr="006D351C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51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28F6" w:rsidTr="00B57775">
        <w:trPr>
          <w:trHeight w:val="249"/>
        </w:trPr>
        <w:tc>
          <w:tcPr>
            <w:tcW w:w="567" w:type="dxa"/>
          </w:tcPr>
          <w:p w:rsidR="007A28F6" w:rsidRPr="006D351C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51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28F6" w:rsidTr="00B57775">
        <w:trPr>
          <w:trHeight w:val="279"/>
        </w:trPr>
        <w:tc>
          <w:tcPr>
            <w:tcW w:w="567" w:type="dxa"/>
          </w:tcPr>
          <w:p w:rsidR="007A28F6" w:rsidRPr="006D351C" w:rsidRDefault="007A28F6" w:rsidP="00507C0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51C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88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7A28F6" w:rsidRDefault="007A28F6" w:rsidP="00507C0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28F6" w:rsidTr="00507C0F">
        <w:trPr>
          <w:trHeight w:val="241"/>
        </w:trPr>
        <w:tc>
          <w:tcPr>
            <w:tcW w:w="15026" w:type="dxa"/>
            <w:gridSpan w:val="7"/>
          </w:tcPr>
          <w:p w:rsidR="007A28F6" w:rsidRPr="007A28F6" w:rsidRDefault="007F1E0E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январь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- сентябрь 2021</w:t>
            </w:r>
            <w:r w:rsidR="007A28F6" w:rsidRPr="007A28F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года</w:t>
            </w:r>
          </w:p>
        </w:tc>
      </w:tr>
      <w:tr w:rsidR="007A28F6" w:rsidTr="00B57775">
        <w:trPr>
          <w:trHeight w:val="159"/>
        </w:trPr>
        <w:tc>
          <w:tcPr>
            <w:tcW w:w="567" w:type="dxa"/>
          </w:tcPr>
          <w:p w:rsidR="007A28F6" w:rsidRPr="006D351C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51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28F6" w:rsidTr="00B57775">
        <w:trPr>
          <w:trHeight w:val="249"/>
        </w:trPr>
        <w:tc>
          <w:tcPr>
            <w:tcW w:w="567" w:type="dxa"/>
          </w:tcPr>
          <w:p w:rsidR="007A28F6" w:rsidRPr="006D351C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51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28F6" w:rsidTr="00B57775">
        <w:trPr>
          <w:trHeight w:val="279"/>
        </w:trPr>
        <w:tc>
          <w:tcPr>
            <w:tcW w:w="567" w:type="dxa"/>
          </w:tcPr>
          <w:p w:rsidR="007A28F6" w:rsidRPr="006D351C" w:rsidRDefault="007A28F6" w:rsidP="000A774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351C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88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:rsidR="007A28F6" w:rsidRDefault="007A28F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292A" w:rsidRDefault="0028292A">
      <w:pPr>
        <w:tabs>
          <w:tab w:val="left" w:pos="2915"/>
        </w:tabs>
        <w:rPr>
          <w:rFonts w:ascii="Times New Roman" w:hAnsi="Times New Roman" w:cs="Times New Roman"/>
          <w:sz w:val="20"/>
          <w:szCs w:val="20"/>
        </w:rPr>
      </w:pPr>
    </w:p>
    <w:p w:rsidR="004304A1" w:rsidRPr="004304A1" w:rsidRDefault="004304A1" w:rsidP="004304A1">
      <w:pPr>
        <w:tabs>
          <w:tab w:val="left" w:pos="713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4A1">
        <w:rPr>
          <w:rFonts w:ascii="Times New Roman" w:eastAsia="Calibri" w:hAnsi="Times New Roman" w:cs="Times New Roman"/>
          <w:sz w:val="24"/>
          <w:szCs w:val="24"/>
        </w:rPr>
        <w:t>Руководитель субъекта внутреннего финансового аудита</w:t>
      </w:r>
    </w:p>
    <w:p w:rsidR="004304A1" w:rsidRDefault="004304A1" w:rsidP="004304A1">
      <w:pPr>
        <w:tabs>
          <w:tab w:val="left" w:pos="713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D1310">
        <w:rPr>
          <w:rFonts w:ascii="Times New Roman" w:eastAsia="Calibri" w:hAnsi="Times New Roman" w:cs="Times New Roman"/>
          <w:sz w:val="28"/>
          <w:szCs w:val="28"/>
        </w:rPr>
        <w:t xml:space="preserve">________________________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1D13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D1310">
        <w:rPr>
          <w:rFonts w:ascii="Times New Roman" w:eastAsia="Calibri" w:hAnsi="Times New Roman" w:cs="Times New Roman"/>
          <w:sz w:val="28"/>
          <w:szCs w:val="28"/>
        </w:rPr>
        <w:t xml:space="preserve">____________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__________________</w:t>
      </w:r>
    </w:p>
    <w:p w:rsidR="004304A1" w:rsidRPr="004304A1" w:rsidRDefault="004304A1" w:rsidP="004304A1">
      <w:pPr>
        <w:tabs>
          <w:tab w:val="left" w:pos="713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310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д</w:t>
      </w:r>
      <w:r w:rsidRPr="004304A1">
        <w:rPr>
          <w:rFonts w:ascii="Times New Roman" w:eastAsia="Calibri" w:hAnsi="Times New Roman" w:cs="Times New Roman"/>
          <w:sz w:val="20"/>
          <w:szCs w:val="20"/>
        </w:rPr>
        <w:t xml:space="preserve">олжность, служебный телефон, адрес электронной </w:t>
      </w:r>
      <w:proofErr w:type="gramStart"/>
      <w:r w:rsidRPr="004304A1">
        <w:rPr>
          <w:rFonts w:ascii="Times New Roman" w:eastAsia="Calibri" w:hAnsi="Times New Roman" w:cs="Times New Roman"/>
          <w:sz w:val="20"/>
          <w:szCs w:val="20"/>
        </w:rPr>
        <w:t>почты</w:t>
      </w:r>
      <w:r w:rsidR="00B25AB7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1D1310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gramEnd"/>
      <w:r w:rsidRPr="001D1310">
        <w:rPr>
          <w:rFonts w:ascii="Times New Roman" w:eastAsia="Calibri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</w:t>
      </w:r>
      <w:r w:rsidRPr="001D1310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</w:t>
      </w:r>
      <w:r w:rsidRPr="001D1310">
        <w:rPr>
          <w:rFonts w:ascii="Times New Roman" w:eastAsia="Calibri" w:hAnsi="Times New Roman" w:cs="Times New Roman"/>
          <w:sz w:val="20"/>
          <w:szCs w:val="20"/>
        </w:rPr>
        <w:t xml:space="preserve">(подпись)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 w:rsidRPr="001D1310">
        <w:rPr>
          <w:rFonts w:ascii="Times New Roman" w:eastAsia="Calibri" w:hAnsi="Times New Roman" w:cs="Times New Roman"/>
          <w:sz w:val="20"/>
          <w:szCs w:val="20"/>
        </w:rPr>
        <w:t>(инициалы и фамилия)</w:t>
      </w:r>
    </w:p>
    <w:p w:rsidR="004304A1" w:rsidRDefault="004304A1" w:rsidP="004304A1">
      <w:pPr>
        <w:spacing w:after="0" w:line="240" w:lineRule="auto"/>
        <w:ind w:left="1034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E5F45" w:rsidRDefault="00DE5F45" w:rsidP="007A28F6">
      <w:pPr>
        <w:pStyle w:val="a5"/>
        <w:rPr>
          <w:rFonts w:ascii="Times New Roman" w:eastAsia="Calibri" w:hAnsi="Times New Roman" w:cs="Times New Roman"/>
          <w:sz w:val="18"/>
          <w:szCs w:val="18"/>
        </w:rPr>
      </w:pPr>
    </w:p>
    <w:p w:rsidR="00DE5F45" w:rsidRDefault="00DE5F45" w:rsidP="007A28F6">
      <w:pPr>
        <w:pStyle w:val="a5"/>
        <w:rPr>
          <w:rFonts w:ascii="Times New Roman" w:eastAsia="Calibri" w:hAnsi="Times New Roman" w:cs="Times New Roman"/>
          <w:sz w:val="18"/>
          <w:szCs w:val="18"/>
        </w:rPr>
      </w:pPr>
    </w:p>
    <w:p w:rsidR="00DE5F45" w:rsidRDefault="00DE5F45" w:rsidP="007A28F6">
      <w:pPr>
        <w:pStyle w:val="a5"/>
        <w:rPr>
          <w:rFonts w:ascii="Times New Roman" w:eastAsia="Calibri" w:hAnsi="Times New Roman" w:cs="Times New Roman"/>
          <w:sz w:val="18"/>
          <w:szCs w:val="18"/>
        </w:rPr>
      </w:pPr>
    </w:p>
    <w:p w:rsidR="00DE5F45" w:rsidRDefault="00DE5F45" w:rsidP="007A28F6">
      <w:pPr>
        <w:pStyle w:val="a5"/>
        <w:rPr>
          <w:rFonts w:ascii="Times New Roman" w:eastAsia="Calibri" w:hAnsi="Times New Roman" w:cs="Times New Roman"/>
          <w:sz w:val="18"/>
          <w:szCs w:val="18"/>
        </w:rPr>
      </w:pPr>
    </w:p>
    <w:p w:rsidR="0028292A" w:rsidRPr="007A28F6" w:rsidRDefault="00041F20" w:rsidP="007A28F6">
      <w:pPr>
        <w:pStyle w:val="a5"/>
      </w:pPr>
      <w:r w:rsidRPr="00124D54">
        <w:rPr>
          <w:rFonts w:ascii="Times New Roman" w:eastAsia="Calibri" w:hAnsi="Times New Roman" w:cs="Times New Roman"/>
          <w:sz w:val="18"/>
          <w:szCs w:val="18"/>
        </w:rPr>
        <w:t xml:space="preserve">*- </w:t>
      </w:r>
      <w:r w:rsidR="002349E3">
        <w:rPr>
          <w:rFonts w:ascii="Times New Roman" w:eastAsia="Calibri" w:hAnsi="Times New Roman" w:cs="Times New Roman"/>
          <w:sz w:val="18"/>
          <w:szCs w:val="18"/>
        </w:rPr>
        <w:t>форма</w:t>
      </w:r>
      <w:r w:rsidRPr="00124D5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349E3">
        <w:rPr>
          <w:rFonts w:ascii="Times New Roman" w:eastAsia="Calibri" w:hAnsi="Times New Roman" w:cs="Times New Roman"/>
          <w:sz w:val="18"/>
          <w:szCs w:val="18"/>
        </w:rPr>
        <w:t xml:space="preserve">заполняется </w:t>
      </w:r>
      <w:r w:rsidRPr="00124D54">
        <w:rPr>
          <w:rFonts w:ascii="Times New Roman" w:eastAsia="Calibri" w:hAnsi="Times New Roman" w:cs="Times New Roman"/>
          <w:sz w:val="18"/>
          <w:szCs w:val="18"/>
        </w:rPr>
        <w:t xml:space="preserve">только </w:t>
      </w:r>
      <w:r w:rsidR="00F37610" w:rsidRPr="00124D54">
        <w:rPr>
          <w:rFonts w:ascii="Times New Roman" w:eastAsia="Calibri" w:hAnsi="Times New Roman" w:cs="Times New Roman"/>
          <w:sz w:val="18"/>
          <w:szCs w:val="18"/>
        </w:rPr>
        <w:t xml:space="preserve">по </w:t>
      </w:r>
      <w:r w:rsidR="00124D54" w:rsidRPr="00B57775">
        <w:rPr>
          <w:rFonts w:ascii="Times New Roman" w:eastAsia="Calibri" w:hAnsi="Times New Roman" w:cs="Times New Roman"/>
          <w:sz w:val="18"/>
          <w:szCs w:val="18"/>
        </w:rPr>
        <w:t xml:space="preserve">тем </w:t>
      </w:r>
      <w:r w:rsidR="00DE5F45">
        <w:rPr>
          <w:rFonts w:ascii="Times New Roman" w:eastAsia="Calibri" w:hAnsi="Times New Roman" w:cs="Times New Roman"/>
          <w:sz w:val="18"/>
          <w:szCs w:val="18"/>
        </w:rPr>
        <w:t>аудиторским</w:t>
      </w:r>
      <w:r w:rsidRPr="00124D54">
        <w:rPr>
          <w:rFonts w:ascii="Times New Roman" w:eastAsia="Calibri" w:hAnsi="Times New Roman" w:cs="Times New Roman"/>
          <w:sz w:val="18"/>
          <w:szCs w:val="18"/>
        </w:rPr>
        <w:t xml:space="preserve"> мероп</w:t>
      </w:r>
      <w:r w:rsidR="005A2B0E" w:rsidRPr="00124D54">
        <w:rPr>
          <w:rFonts w:ascii="Times New Roman" w:eastAsia="Calibri" w:hAnsi="Times New Roman" w:cs="Times New Roman"/>
          <w:sz w:val="18"/>
          <w:szCs w:val="18"/>
        </w:rPr>
        <w:t>риятиям, по результатам</w:t>
      </w:r>
      <w:r w:rsidRPr="00124D54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124D54">
        <w:rPr>
          <w:rFonts w:ascii="Times New Roman" w:eastAsia="Calibri" w:hAnsi="Times New Roman" w:cs="Times New Roman"/>
          <w:sz w:val="18"/>
          <w:szCs w:val="18"/>
        </w:rPr>
        <w:t>проведения</w:t>
      </w:r>
      <w:proofErr w:type="gramEnd"/>
      <w:r w:rsidRPr="00124D54">
        <w:rPr>
          <w:rFonts w:ascii="Times New Roman" w:eastAsia="Calibri" w:hAnsi="Times New Roman" w:cs="Times New Roman"/>
          <w:sz w:val="18"/>
          <w:szCs w:val="18"/>
        </w:rPr>
        <w:t xml:space="preserve"> которых </w:t>
      </w:r>
      <w:r w:rsidR="00F37610" w:rsidRPr="00124D54">
        <w:rPr>
          <w:rFonts w:ascii="Times New Roman" w:eastAsia="Calibri" w:hAnsi="Times New Roman" w:cs="Times New Roman"/>
          <w:sz w:val="18"/>
          <w:szCs w:val="18"/>
        </w:rPr>
        <w:t xml:space="preserve">решения </w:t>
      </w:r>
      <w:r w:rsidR="00124D54" w:rsidRPr="00124D54">
        <w:rPr>
          <w:rFonts w:ascii="Times New Roman" w:eastAsia="Calibri" w:hAnsi="Times New Roman" w:cs="Times New Roman"/>
          <w:sz w:val="18"/>
          <w:szCs w:val="18"/>
        </w:rPr>
        <w:t>руководител</w:t>
      </w:r>
      <w:r w:rsidR="00124D54">
        <w:rPr>
          <w:rFonts w:ascii="Times New Roman" w:eastAsia="Calibri" w:hAnsi="Times New Roman" w:cs="Times New Roman"/>
          <w:sz w:val="18"/>
          <w:szCs w:val="18"/>
        </w:rPr>
        <w:t>я</w:t>
      </w:r>
      <w:r w:rsidR="00124D54" w:rsidRPr="00124D5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124D54">
        <w:rPr>
          <w:rFonts w:ascii="Times New Roman" w:eastAsia="Calibri" w:hAnsi="Times New Roman" w:cs="Times New Roman"/>
          <w:sz w:val="18"/>
          <w:szCs w:val="18"/>
        </w:rPr>
        <w:t xml:space="preserve">главного администратора </w:t>
      </w:r>
      <w:r w:rsidR="00124D54" w:rsidRPr="00E53294">
        <w:rPr>
          <w:rFonts w:ascii="Times New Roman" w:eastAsia="Calibri" w:hAnsi="Times New Roman" w:cs="Times New Roman"/>
          <w:sz w:val="18"/>
          <w:szCs w:val="18"/>
        </w:rPr>
        <w:t xml:space="preserve">не </w:t>
      </w:r>
      <w:r w:rsidR="002349E3" w:rsidRPr="00E53294">
        <w:rPr>
          <w:rFonts w:ascii="Times New Roman" w:eastAsia="Calibri" w:hAnsi="Times New Roman" w:cs="Times New Roman"/>
          <w:sz w:val="18"/>
          <w:szCs w:val="18"/>
        </w:rPr>
        <w:t>содержа</w:t>
      </w:r>
      <w:r w:rsidR="002349E3">
        <w:rPr>
          <w:rFonts w:ascii="Times New Roman" w:eastAsia="Calibri" w:hAnsi="Times New Roman" w:cs="Times New Roman"/>
          <w:sz w:val="18"/>
          <w:szCs w:val="18"/>
        </w:rPr>
        <w:t>т</w:t>
      </w:r>
      <w:r w:rsidR="002349E3" w:rsidRPr="00E5329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24D54" w:rsidRPr="00E53294">
        <w:rPr>
          <w:rFonts w:ascii="Times New Roman" w:eastAsia="Calibri" w:hAnsi="Times New Roman" w:cs="Times New Roman"/>
          <w:sz w:val="18"/>
          <w:szCs w:val="18"/>
        </w:rPr>
        <w:t>конкретных, имеющих срок выполнения поручений, направленных на минимизацию бюджетных рисков, устранение их причин</w:t>
      </w:r>
      <w:r w:rsidR="00124D54">
        <w:rPr>
          <w:rFonts w:ascii="Times New Roman" w:eastAsia="Calibri" w:hAnsi="Times New Roman" w:cs="Times New Roman"/>
          <w:sz w:val="18"/>
          <w:szCs w:val="18"/>
        </w:rPr>
        <w:t>, либо решения руководителем главного администратора</w:t>
      </w:r>
      <w:r w:rsidR="00D27A9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24D54">
        <w:rPr>
          <w:rFonts w:ascii="Times New Roman" w:eastAsia="Calibri" w:hAnsi="Times New Roman" w:cs="Times New Roman"/>
          <w:sz w:val="18"/>
          <w:szCs w:val="18"/>
        </w:rPr>
        <w:t xml:space="preserve">не </w:t>
      </w:r>
      <w:r w:rsidR="002349E3" w:rsidRPr="00124D54">
        <w:rPr>
          <w:rFonts w:ascii="Times New Roman" w:eastAsia="Calibri" w:hAnsi="Times New Roman" w:cs="Times New Roman"/>
          <w:sz w:val="18"/>
          <w:szCs w:val="18"/>
        </w:rPr>
        <w:t>прин</w:t>
      </w:r>
      <w:r w:rsidR="002349E3">
        <w:rPr>
          <w:rFonts w:ascii="Times New Roman" w:eastAsia="Calibri" w:hAnsi="Times New Roman" w:cs="Times New Roman"/>
          <w:sz w:val="18"/>
          <w:szCs w:val="18"/>
        </w:rPr>
        <w:t>яты</w:t>
      </w:r>
    </w:p>
    <w:sectPr w:rsidR="0028292A" w:rsidRPr="007A28F6">
      <w:headerReference w:type="first" r:id="rId9"/>
      <w:pgSz w:w="16838" w:h="11906" w:orient="landscape"/>
      <w:pgMar w:top="1133" w:right="962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56E" w:rsidRDefault="003B156E">
      <w:pPr>
        <w:spacing w:after="0" w:line="240" w:lineRule="auto"/>
      </w:pPr>
      <w:r>
        <w:separator/>
      </w:r>
    </w:p>
  </w:endnote>
  <w:endnote w:type="continuationSeparator" w:id="0">
    <w:p w:rsidR="003B156E" w:rsidRDefault="003B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56E" w:rsidRDefault="003B156E">
      <w:pPr>
        <w:spacing w:after="0" w:line="240" w:lineRule="auto"/>
      </w:pPr>
      <w:r>
        <w:separator/>
      </w:r>
    </w:p>
  </w:footnote>
  <w:footnote w:type="continuationSeparator" w:id="0">
    <w:p w:rsidR="003B156E" w:rsidRDefault="003B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266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7C0F" w:rsidRDefault="00507C0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6F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C0F" w:rsidRDefault="00507C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A2BAD"/>
    <w:multiLevelType w:val="hybridMultilevel"/>
    <w:tmpl w:val="F1B8D8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2E33DD"/>
    <w:multiLevelType w:val="hybridMultilevel"/>
    <w:tmpl w:val="C7D83088"/>
    <w:lvl w:ilvl="0" w:tplc="2C3A1A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7C0D3C"/>
    <w:multiLevelType w:val="hybridMultilevel"/>
    <w:tmpl w:val="371ED078"/>
    <w:lvl w:ilvl="0" w:tplc="9CF850B2">
      <w:start w:val="2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DA2ABE"/>
    <w:multiLevelType w:val="hybridMultilevel"/>
    <w:tmpl w:val="BBE6D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D2E43"/>
    <w:multiLevelType w:val="hybridMultilevel"/>
    <w:tmpl w:val="7D1E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61859"/>
    <w:multiLevelType w:val="hybridMultilevel"/>
    <w:tmpl w:val="699CFDB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4B32122B"/>
    <w:multiLevelType w:val="hybridMultilevel"/>
    <w:tmpl w:val="75163B76"/>
    <w:lvl w:ilvl="0" w:tplc="4DF049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B5FC3"/>
    <w:multiLevelType w:val="hybridMultilevel"/>
    <w:tmpl w:val="7D1E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55504"/>
    <w:multiLevelType w:val="hybridMultilevel"/>
    <w:tmpl w:val="8DD6B0C4"/>
    <w:lvl w:ilvl="0" w:tplc="443AF9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E2A6D"/>
    <w:multiLevelType w:val="hybridMultilevel"/>
    <w:tmpl w:val="9A9852E0"/>
    <w:lvl w:ilvl="0" w:tplc="04F8D89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52E9E"/>
    <w:multiLevelType w:val="hybridMultilevel"/>
    <w:tmpl w:val="A426DFD6"/>
    <w:lvl w:ilvl="0" w:tplc="1276B74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2A"/>
    <w:rsid w:val="0003349F"/>
    <w:rsid w:val="00041F20"/>
    <w:rsid w:val="00056256"/>
    <w:rsid w:val="00086F36"/>
    <w:rsid w:val="000A7748"/>
    <w:rsid w:val="000D772E"/>
    <w:rsid w:val="0012457A"/>
    <w:rsid w:val="00124D54"/>
    <w:rsid w:val="00132C88"/>
    <w:rsid w:val="001361F8"/>
    <w:rsid w:val="001C0F27"/>
    <w:rsid w:val="001D1310"/>
    <w:rsid w:val="001E5352"/>
    <w:rsid w:val="001F5DA6"/>
    <w:rsid w:val="00205C75"/>
    <w:rsid w:val="00214F3D"/>
    <w:rsid w:val="002349E3"/>
    <w:rsid w:val="00267E8E"/>
    <w:rsid w:val="0028292A"/>
    <w:rsid w:val="002D2D9F"/>
    <w:rsid w:val="0030158C"/>
    <w:rsid w:val="00304B26"/>
    <w:rsid w:val="003069FC"/>
    <w:rsid w:val="00331ACF"/>
    <w:rsid w:val="00360C1B"/>
    <w:rsid w:val="003678A3"/>
    <w:rsid w:val="003875F3"/>
    <w:rsid w:val="00395E83"/>
    <w:rsid w:val="003A3178"/>
    <w:rsid w:val="003B156E"/>
    <w:rsid w:val="003C0E97"/>
    <w:rsid w:val="003E0BA5"/>
    <w:rsid w:val="003E310F"/>
    <w:rsid w:val="004304A1"/>
    <w:rsid w:val="00462BF2"/>
    <w:rsid w:val="00466A73"/>
    <w:rsid w:val="0049455E"/>
    <w:rsid w:val="004B71B1"/>
    <w:rsid w:val="004E0508"/>
    <w:rsid w:val="00507C0F"/>
    <w:rsid w:val="00555F72"/>
    <w:rsid w:val="00592692"/>
    <w:rsid w:val="005A2B0E"/>
    <w:rsid w:val="005D00CB"/>
    <w:rsid w:val="005E7B84"/>
    <w:rsid w:val="005F4328"/>
    <w:rsid w:val="005F6929"/>
    <w:rsid w:val="0066008A"/>
    <w:rsid w:val="006D351C"/>
    <w:rsid w:val="00737993"/>
    <w:rsid w:val="00745004"/>
    <w:rsid w:val="007726C4"/>
    <w:rsid w:val="007A28F6"/>
    <w:rsid w:val="007B259D"/>
    <w:rsid w:val="007F1E0E"/>
    <w:rsid w:val="00806E24"/>
    <w:rsid w:val="008131CC"/>
    <w:rsid w:val="00815ADF"/>
    <w:rsid w:val="008A47F6"/>
    <w:rsid w:val="008B744A"/>
    <w:rsid w:val="008C5641"/>
    <w:rsid w:val="009149CB"/>
    <w:rsid w:val="009464AC"/>
    <w:rsid w:val="00957EB2"/>
    <w:rsid w:val="00973836"/>
    <w:rsid w:val="00980C3E"/>
    <w:rsid w:val="009C4071"/>
    <w:rsid w:val="009C7348"/>
    <w:rsid w:val="009D4EF0"/>
    <w:rsid w:val="00A04367"/>
    <w:rsid w:val="00A27137"/>
    <w:rsid w:val="00A73C7B"/>
    <w:rsid w:val="00AA2C67"/>
    <w:rsid w:val="00AE3EFE"/>
    <w:rsid w:val="00B25AB7"/>
    <w:rsid w:val="00B37BBE"/>
    <w:rsid w:val="00B40878"/>
    <w:rsid w:val="00B57775"/>
    <w:rsid w:val="00B8402F"/>
    <w:rsid w:val="00B94FB5"/>
    <w:rsid w:val="00BE4168"/>
    <w:rsid w:val="00CC00B0"/>
    <w:rsid w:val="00CC7173"/>
    <w:rsid w:val="00D051F2"/>
    <w:rsid w:val="00D12E21"/>
    <w:rsid w:val="00D27A99"/>
    <w:rsid w:val="00D70281"/>
    <w:rsid w:val="00D87873"/>
    <w:rsid w:val="00DB3F1E"/>
    <w:rsid w:val="00DE17A3"/>
    <w:rsid w:val="00DE5F45"/>
    <w:rsid w:val="00DE7295"/>
    <w:rsid w:val="00E11BB2"/>
    <w:rsid w:val="00E65F43"/>
    <w:rsid w:val="00E66A6D"/>
    <w:rsid w:val="00EB5134"/>
    <w:rsid w:val="00EC6BAF"/>
    <w:rsid w:val="00EE530A"/>
    <w:rsid w:val="00EF636E"/>
    <w:rsid w:val="00EF78B8"/>
    <w:rsid w:val="00F37610"/>
    <w:rsid w:val="00F75E9D"/>
    <w:rsid w:val="00F870AD"/>
    <w:rsid w:val="00F92C7A"/>
    <w:rsid w:val="00F945DF"/>
    <w:rsid w:val="00FA39AE"/>
    <w:rsid w:val="00FA43C5"/>
    <w:rsid w:val="00FE1C96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73AABE-75A2-4E0D-8D87-8B487A6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paragraph" w:styleId="af0">
    <w:name w:val="Revision"/>
    <w:hidden/>
    <w:uiPriority w:val="99"/>
    <w:semiHidden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CE412-A700-4C41-AE47-586715ED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Горбатов Анатолий Александрович</dc:creator>
  <cp:lastModifiedBy>Просвирова Татьяна Алексеевна</cp:lastModifiedBy>
  <cp:revision>9</cp:revision>
  <cp:lastPrinted>2019-11-14T08:59:00Z</cp:lastPrinted>
  <dcterms:created xsi:type="dcterms:W3CDTF">2021-10-01T04:41:00Z</dcterms:created>
  <dcterms:modified xsi:type="dcterms:W3CDTF">2021-10-01T04:48:00Z</dcterms:modified>
</cp:coreProperties>
</file>