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43" w:rsidRDefault="001D6E5E">
      <w:pPr>
        <w:widowControl w:val="0"/>
        <w:spacing w:after="0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F3C43" w:rsidRDefault="001D6E5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Аналитический материал практики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правоприменения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</w:t>
      </w:r>
      <w:r w:rsidR="0038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ерального закона от 27.07.2004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79-ФЗ «О государственной гражданской службе Российской Федерации»</w:t>
      </w:r>
    </w:p>
    <w:p w:rsidR="000F3C43" w:rsidRDefault="000F3C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C43" w:rsidRDefault="001D6E5E">
      <w:pPr>
        <w:pStyle w:val="a7"/>
        <w:widowControl w:val="0"/>
        <w:numPr>
          <w:ilvl w:val="0"/>
          <w:numId w:val="2"/>
        </w:num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Исчисление сроков при применении взысканий за коррупционные правонарушения, установленные </w:t>
      </w:r>
      <w:hyperlink r:id="rId8" w:history="1">
        <w:r>
          <w:rPr>
            <w:rFonts w:ascii="Times New Roman" w:eastAsia="SimSun" w:hAnsi="Times New Roman" w:cs="Times New Roman"/>
            <w:b/>
            <w:kern w:val="3"/>
            <w:sz w:val="28"/>
            <w:szCs w:val="28"/>
          </w:rPr>
          <w:t>статьей 59.3</w:t>
        </w:r>
      </w:hyperlink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Федерального закона              от 27 июля 2004 года № 79-ФЗ «О государственной гражданской службе Российской Федерации».</w:t>
      </w:r>
    </w:p>
    <w:p w:rsidR="000F3C43" w:rsidRDefault="000F3C43">
      <w:pPr>
        <w:pStyle w:val="ConsPlusNormal"/>
        <w:spacing w:line="360" w:lineRule="atLeast"/>
        <w:ind w:firstLine="540"/>
      </w:pPr>
      <w:bookmarkStart w:id="0" w:name="_GoBack"/>
      <w:bookmarkEnd w:id="0"/>
    </w:p>
    <w:p w:rsidR="000F3C43" w:rsidRDefault="000F3C43">
      <w:pPr>
        <w:pStyle w:val="ConsPlusNormal"/>
        <w:spacing w:line="360" w:lineRule="atLeast"/>
        <w:ind w:firstLine="540"/>
      </w:pPr>
    </w:p>
    <w:p w:rsidR="000F3C43" w:rsidRDefault="001D6E5E">
      <w:pPr>
        <w:pStyle w:val="ConsPlusNormal"/>
        <w:spacing w:line="360" w:lineRule="atLeast"/>
        <w:contextualSpacing/>
      </w:pPr>
      <w:r>
        <w:t xml:space="preserve">Порядок применения взысканий за коррупционные правонарушения установлен в </w:t>
      </w:r>
      <w:hyperlink r:id="rId9" w:history="1">
        <w:r>
          <w:t>статье 59.3</w:t>
        </w:r>
      </w:hyperlink>
      <w:r>
        <w:t xml:space="preserve"> </w:t>
      </w:r>
      <w:r>
        <w:rPr>
          <w:rFonts w:eastAsia="SimSun"/>
          <w:kern w:val="3"/>
        </w:rPr>
        <w:t>Федерального закона от 27 июля 2004 года № 79-ФЗ «О государственно</w:t>
      </w:r>
      <w:r w:rsidR="00384CA2">
        <w:rPr>
          <w:rFonts w:eastAsia="SimSun"/>
          <w:kern w:val="3"/>
        </w:rPr>
        <w:t xml:space="preserve">й гражданской службе Российской </w:t>
      </w:r>
      <w:proofErr w:type="gramStart"/>
      <w:r>
        <w:rPr>
          <w:rFonts w:eastAsia="SimSun"/>
          <w:kern w:val="3"/>
        </w:rPr>
        <w:t>Федер</w:t>
      </w:r>
      <w:r w:rsidR="00384CA2">
        <w:rPr>
          <w:rFonts w:eastAsia="SimSun"/>
          <w:kern w:val="3"/>
        </w:rPr>
        <w:t xml:space="preserve">ации»   </w:t>
      </w:r>
      <w:proofErr w:type="gramEnd"/>
      <w:r w:rsidR="00384CA2">
        <w:rPr>
          <w:rFonts w:eastAsia="SimSun"/>
          <w:kern w:val="3"/>
        </w:rPr>
        <w:t xml:space="preserve">                </w:t>
      </w:r>
      <w:r>
        <w:rPr>
          <w:rFonts w:eastAsia="SimSun"/>
          <w:kern w:val="3"/>
        </w:rPr>
        <w:t>(далее – Федеральный закон № 79-ФЗ)</w:t>
      </w:r>
      <w:r>
        <w:t>.</w:t>
      </w:r>
    </w:p>
    <w:p w:rsidR="000F3C43" w:rsidRDefault="001D6E5E">
      <w:pPr>
        <w:pStyle w:val="ConsPlusNormal"/>
        <w:spacing w:line="360" w:lineRule="atLeast"/>
        <w:contextualSpacing/>
      </w:pPr>
      <w:r>
        <w:t xml:space="preserve">В соответствии с частью 3 статьи 59.3 Федерального  закона № 79-ФЗ взыскания, предусмотренные </w:t>
      </w:r>
      <w:hyperlink r:id="rId10" w:history="1">
        <w:r>
          <w:rPr>
            <w:color w:val="000000" w:themeColor="text1"/>
          </w:rPr>
          <w:t>статьями 59.1</w:t>
        </w:r>
      </w:hyperlink>
      <w:r>
        <w:rPr>
          <w:color w:val="000000" w:themeColor="text1"/>
        </w:rPr>
        <w:t xml:space="preserve"> и </w:t>
      </w:r>
      <w:hyperlink r:id="rId11" w:history="1">
        <w:r>
          <w:rPr>
            <w:color w:val="000000" w:themeColor="text1"/>
          </w:rPr>
          <w:t>59.2</w:t>
        </w:r>
      </w:hyperlink>
      <w:r>
        <w:t xml:space="preserve"> Федерального закона                № 79-ФЗ, применяются не позднее одного месяца со дня поступления информации о совершении гражданским служащим коррупционного правонарушения, не считая периода временной нетрудоспособности гражданского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F3C43" w:rsidRDefault="001D6E5E">
      <w:pPr>
        <w:pStyle w:val="ConsPlusNormal"/>
        <w:spacing w:line="360" w:lineRule="atLeast"/>
        <w:contextualSpacing/>
        <w:rPr>
          <w:color w:val="000000"/>
        </w:rPr>
      </w:pPr>
      <w:r>
        <w:t xml:space="preserve">Учитывая изложенное, </w:t>
      </w:r>
      <w:r>
        <w:rPr>
          <w:color w:val="000000"/>
        </w:rPr>
        <w:t xml:space="preserve">применить взыскание </w:t>
      </w:r>
      <w:r>
        <w:t xml:space="preserve">за коррупционные правонарушения </w:t>
      </w:r>
      <w:r>
        <w:rPr>
          <w:color w:val="000000"/>
        </w:rPr>
        <w:t>можно не позднее одного месяца со дня поступления информации о совершении гражданским служащим коррупционного правонарушения. Течение этого срока приостанавливается на время:</w:t>
      </w:r>
    </w:p>
    <w:p w:rsidR="000F3C43" w:rsidRDefault="001D6E5E">
      <w:pPr>
        <w:pStyle w:val="ConsPlusNormal"/>
        <w:spacing w:line="360" w:lineRule="atLeast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-  болезни гражданского служащего;</w:t>
      </w:r>
    </w:p>
    <w:p w:rsidR="000F3C43" w:rsidRDefault="001D6E5E">
      <w:pPr>
        <w:pStyle w:val="ConsPlusNormal"/>
        <w:spacing w:line="360" w:lineRule="atLeast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- отпуска гражданского служащего (</w:t>
      </w:r>
      <w:r>
        <w:t>ежегодный, без сохранения заработной платы, учебный)</w:t>
      </w:r>
      <w:r>
        <w:rPr>
          <w:rFonts w:eastAsia="Times New Roman"/>
          <w:color w:val="000000"/>
        </w:rPr>
        <w:t>;</w:t>
      </w:r>
    </w:p>
    <w:p w:rsidR="000F3C43" w:rsidRDefault="001D6E5E">
      <w:pPr>
        <w:pStyle w:val="ConsPlusNormal"/>
        <w:spacing w:line="360" w:lineRule="atLeast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- отсутствия гражданского служащего на службе по уважительной причине (</w:t>
      </w:r>
      <w:proofErr w:type="gramStart"/>
      <w:r>
        <w:rPr>
          <w:rFonts w:eastAsia="Times New Roman"/>
          <w:color w:val="000000"/>
        </w:rPr>
        <w:t>например</w:t>
      </w:r>
      <w:proofErr w:type="gramEnd"/>
      <w:r>
        <w:rPr>
          <w:rFonts w:eastAsia="Times New Roman"/>
          <w:color w:val="000000"/>
        </w:rPr>
        <w:t xml:space="preserve">: </w:t>
      </w:r>
      <w:r>
        <w:t>командировка, день отдыха)</w:t>
      </w:r>
      <w:r>
        <w:rPr>
          <w:rFonts w:eastAsia="Times New Roman"/>
          <w:color w:val="000000"/>
        </w:rPr>
        <w:t>;</w:t>
      </w:r>
    </w:p>
    <w:p w:rsidR="000F3C43" w:rsidRDefault="001D6E5E">
      <w:pPr>
        <w:pStyle w:val="ConsPlusNormal"/>
        <w:spacing w:line="360" w:lineRule="atLeast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- проведения проверки и рассмотрения ее материалов </w:t>
      </w:r>
      <w:r>
        <w:t>комиссией по урегулированию конфликтов интересов</w:t>
      </w:r>
      <w:r>
        <w:rPr>
          <w:rFonts w:eastAsia="Times New Roman"/>
          <w:color w:val="000000"/>
        </w:rPr>
        <w:t xml:space="preserve">. </w:t>
      </w:r>
    </w:p>
    <w:p w:rsidR="000F3C43" w:rsidRDefault="001D6E5E">
      <w:pPr>
        <w:pStyle w:val="ConsPlusNormal"/>
        <w:spacing w:line="360" w:lineRule="atLeast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Так, анализ судебной практики показал следующее.</w:t>
      </w:r>
    </w:p>
    <w:p w:rsidR="000F3C43" w:rsidRDefault="001D6E5E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удовлетворении требований об отмене решения первой инстанции о признании незаконным и отмене приказа «О результатах проверки» в части применения к гражданскому служащему меры юридической ответственности в виде объявления дисциплинарной взыскания – замечания было отказано, так как судом первой инстанции законно и обоснованно были сделаны выводы, в том числе о пропуске, установленного в соответствии с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частью 3 статьи 59.3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79-ФЗ, срока применения к гражданскому служащему дисциплинарного взыскания            (в месячный срок обоснованно не был включен период проведения проверки в отношении гражданского служащего, однако несмотря на это срок для применения к гражданскому служащему меры юридической ответственности в виде дисциплинарного взыскания составил более месяца, что не соответствует части 3 статьи 59.3 Федерального закона № 79-ФЗ) (Апелляционное определение судебной коллегии по гражданским делам Краснодарского краевого суда от 14 августа 2014 года по делу                        № 33-17718/2014).</w:t>
      </w:r>
    </w:p>
    <w:p w:rsidR="000F3C43" w:rsidRDefault="001D6E5E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суда первой инстанции было отменено и вынесено новое решение об отказе в удовлетворении исковых требований гражданского служащего об отмене приказа, в части применения к нему меры юридической ответственности в виде наложения дисциплинарного взыскания – выговор, в связи с неверным исчислением срока для применения взыскания за коррупционные правонарушения (в месячный срок суд не включил периоды проведения проверок в отношении гражданского служащего) судом первой инстанции (Определение судебной коллегией по гражданским делам Приморского краевого суда от 22 июля 2014 года по делу  № 33-5868/2014). </w:t>
      </w:r>
    </w:p>
    <w:p w:rsidR="000F3C43" w:rsidRDefault="001D6E5E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первой инстанции оставлено без изменений, а апелляционная жалоба без удовлетворения, в связи с тем, что доводы апелляционной жалобы гражданского служащего о нарушении срока привлечения к ответственности за предоставление сведений о доходах и имуществе являются необоснованными, поскольку срок применения взыскания исчисляется с момента поступления информации о совершении коррупционного правонарушения, суд первой инстанции также исключил из месячного срока, установленного Федеральным законом № 79-ФЗ для привлечения гражданского служащего к дисциплинарной ответственности, периоды нахождения гражданского служащего в очередном отпуске, временной нетрудоспособности  (Апелляционное определение судебной коллегии по гражданским делам Санкт-Петербургского городского суда          от 19 августа 2014 года по делу № 33-11830/2014). Аналогичный вывод сделан в  определении судебной коллегии по гражданским делам Смоленского областного суда от 27 февраля 2013 г. по делу № 33-795, в котором решение  </w:t>
      </w:r>
      <w:r>
        <w:rPr>
          <w:rFonts w:ascii="Times New Roman" w:hAnsi="Times New Roman" w:cs="Times New Roman"/>
          <w:sz w:val="28"/>
          <w:szCs w:val="28"/>
        </w:rPr>
        <w:lastRenderedPageBreak/>
        <w:t>суда первой инстанции о признании незаконным применения к гражданскому служащему дисциплинарного взыскания в виде выговора оставлено без изменений, а апелляционная жалоба без оставлена удовлетворения, поскольку при исчислении месячного срока для применения дисциплинарного взыскания к гражданскому служащему обоснованно не были включены в месячный срок  для применения дисциплинарного взыскания периоды нахождения гражданского служащего в очередном отпуске, а также нахождения на курсах повышения квалификации.</w:t>
      </w:r>
    </w:p>
    <w:p w:rsidR="000F3C43" w:rsidRDefault="001D6E5E">
      <w:pPr>
        <w:pStyle w:val="a7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апелляционной жалобы о нарушении срока привлечения к ответственности за предоставление сведений о доходах за 2011 год признаны судом необоснованными, поскольку срок привлечения к ответственности исчисляется не с момента представления справки гражданским служащим, а с момента поступления информации о совершении коррупционного правонарушения (Апелляционное</w:t>
      </w:r>
      <w:r w:rsidR="00384CA2">
        <w:rPr>
          <w:rFonts w:ascii="Times New Roman" w:hAnsi="Times New Roman" w:cs="Times New Roman"/>
          <w:sz w:val="28"/>
          <w:szCs w:val="28"/>
        </w:rPr>
        <w:t xml:space="preserve"> определение судебной коллегии </w:t>
      </w:r>
      <w:r>
        <w:rPr>
          <w:rFonts w:ascii="Times New Roman" w:hAnsi="Times New Roman" w:cs="Times New Roman"/>
          <w:sz w:val="28"/>
          <w:szCs w:val="28"/>
        </w:rPr>
        <w:t>по гражданским делам Брянского обла</w:t>
      </w:r>
      <w:r w:rsidR="00384CA2">
        <w:rPr>
          <w:rFonts w:ascii="Times New Roman" w:hAnsi="Times New Roman" w:cs="Times New Roman"/>
          <w:sz w:val="28"/>
          <w:szCs w:val="28"/>
        </w:rPr>
        <w:t>стного суда от</w:t>
      </w:r>
      <w:r>
        <w:rPr>
          <w:rFonts w:ascii="Times New Roman" w:hAnsi="Times New Roman" w:cs="Times New Roman"/>
          <w:sz w:val="28"/>
          <w:szCs w:val="28"/>
        </w:rPr>
        <w:t xml:space="preserve"> 25 марта 2014 г.)</w:t>
      </w:r>
    </w:p>
    <w:p w:rsidR="000F3C43" w:rsidRDefault="001D6E5E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Учитывая изложенное, а также в целях недопущения нарушения законодательства Российской Федерации и признания незаконным решения представителя нанимателя о применении к гражданскому служащему </w:t>
      </w:r>
      <w:r>
        <w:rPr>
          <w:rFonts w:ascii="Times New Roman" w:hAnsi="Times New Roman" w:cs="Times New Roman"/>
          <w:sz w:val="28"/>
          <w:szCs w:val="28"/>
        </w:rPr>
        <w:t>мер юридической ответственности в виде дисциплинарного взыскания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необходимо при исчислении срока учитывать положения статьи 59.3 Федерального закона № 79-ФЗ.</w:t>
      </w:r>
    </w:p>
    <w:p w:rsidR="000F3C43" w:rsidRDefault="000F3C43">
      <w:pPr>
        <w:widowControl w:val="0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0F3C43" w:rsidRDefault="001D6E5E">
      <w:pPr>
        <w:pStyle w:val="a7"/>
        <w:widowControl w:val="0"/>
        <w:numPr>
          <w:ilvl w:val="0"/>
          <w:numId w:val="2"/>
        </w:num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Взыскания за коррупционные правонарушения, предусмотренные статьями 59.1 и 59.2 Федерального закона № 79-ФЗ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.</w:t>
      </w:r>
    </w:p>
    <w:p w:rsidR="000F3C43" w:rsidRDefault="000F3C43">
      <w:pPr>
        <w:pStyle w:val="ConsPlusNormal"/>
        <w:spacing w:line="360" w:lineRule="atLeast"/>
        <w:ind w:left="720"/>
        <w:rPr>
          <w:color w:val="000000" w:themeColor="text1"/>
        </w:rPr>
      </w:pP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ежегодно не позднее срока, установленного нормативными правовыми актами Российской Федерации, 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и сведения о своих расходах, а также о расходах членов своей семьи в порядке, установленном федеральным законом и иными нормативными правовыми актами Российской Федерации, представителю нанимателя (пункт 2 части 1 статьи 20 и часть 1 статьи 20.1 Федерального закона № 79-ФЗ, статья 8 Федерального закона № 273-ФЗ «О противодействии коррупции» (далее - Федеральный закон № 273-ФЗ)).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59.1 Федерального закона № 79-ФЗ за несоблюдение гражданским служащим ограничений и запретов, требований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№ 79-ФЗ, Федеральным </w:t>
      </w:r>
      <w:hyperlink r:id="rId1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84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273-ФЗ  и другими федеральными </w:t>
      </w:r>
      <w:hyperlink r:id="rId1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законами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налагаются следующие взыскания: 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замечание, выговор, предупреждение о неполном должностном соответствии.</w:t>
      </w:r>
    </w:p>
    <w:p w:rsidR="000F3C43" w:rsidRDefault="001D6E5E">
      <w:pPr>
        <w:pStyle w:val="ConsPlusNormal"/>
        <w:spacing w:line="360" w:lineRule="atLeast"/>
        <w:ind w:firstLine="539"/>
        <w:rPr>
          <w:color w:val="000000" w:themeColor="text1"/>
        </w:rPr>
      </w:pPr>
      <w:r>
        <w:t xml:space="preserve">Также согласно пункту 2 части 1 статьи 59.2 Федерального закона                    № 79-ФЗ гражданский служащий подлежит увольнению в связи с утратой доверия в случае непредставления гражданским служащим сведений о своих доходах, расходах, об имуществе и обязательствах имущественного характера, а также </w:t>
      </w:r>
      <w:r>
        <w:rPr>
          <w:color w:val="000000" w:themeColor="text1"/>
        </w:rPr>
        <w:t>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сведений.</w:t>
      </w:r>
    </w:p>
    <w:p w:rsidR="000F3C43" w:rsidRDefault="001D6E5E">
      <w:pPr>
        <w:pStyle w:val="ConsPlusNormal"/>
        <w:spacing w:line="360" w:lineRule="atLeast"/>
        <w:ind w:firstLine="539"/>
        <w:rPr>
          <w:color w:val="000000" w:themeColor="text1"/>
        </w:rPr>
      </w:pPr>
      <w:r>
        <w:rPr>
          <w:color w:val="000000" w:themeColor="text1"/>
        </w:rPr>
        <w:t xml:space="preserve">При этом следует отметить, что в соответствии с частью 1 статьи 59.3 Федерального закона № 79-ФЗ взыскания, предусмотренные </w:t>
      </w:r>
      <w:hyperlink r:id="rId15" w:history="1">
        <w:r>
          <w:rPr>
            <w:color w:val="000000" w:themeColor="text1"/>
          </w:rPr>
          <w:t>статьями 59.1</w:t>
        </w:r>
      </w:hyperlink>
      <w:r>
        <w:rPr>
          <w:color w:val="000000" w:themeColor="text1"/>
        </w:rPr>
        <w:t xml:space="preserve"> и </w:t>
      </w:r>
      <w:hyperlink r:id="rId16" w:history="1">
        <w:r>
          <w:rPr>
            <w:color w:val="000000" w:themeColor="text1"/>
          </w:rPr>
          <w:t>59.2</w:t>
        </w:r>
      </w:hyperlink>
      <w:r>
        <w:rPr>
          <w:color w:val="000000" w:themeColor="text1"/>
        </w:rPr>
        <w:t xml:space="preserve"> Федерального закона № 79-ФЗ, применяются 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конфликтов интересов, - и на основании рекомендации указанной комиссии.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2 статьи 59.3 Федерального закона № 79-ФЗ при применении взысканий, предусмотренных </w:t>
      </w:r>
      <w:hyperlink r:id="rId1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59.1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59.2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обязанностей.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Указанные дисциплинарные взыскания налагаются на гражданских служащих по результатам проверки, проведенной подразделением кадровой службы соответствующего государственного органа по профилактике коррупционных и иных правонарушений, в том числе в соответствии с </w:t>
      </w:r>
      <w:hyperlink r:id="rId19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Президента Российской Федерации от 21 сентября 2009 г. № 1065     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федеральными государственными служащими требований к служебному поведению».</w:t>
      </w:r>
    </w:p>
    <w:p w:rsidR="000F3C43" w:rsidRDefault="001D6E5E">
      <w:pPr>
        <w:pStyle w:val="ConsPlusNormal"/>
        <w:spacing w:line="360" w:lineRule="atLeast"/>
        <w:ind w:firstLine="540"/>
      </w:pPr>
      <w:r>
        <w:t xml:space="preserve">Анализ </w:t>
      </w:r>
      <w:hyperlink r:id="rId20" w:history="1">
        <w:r>
          <w:t>статьей 59.1</w:t>
        </w:r>
      </w:hyperlink>
      <w:r>
        <w:t xml:space="preserve">, </w:t>
      </w:r>
      <w:hyperlink r:id="rId21" w:history="1">
        <w:r>
          <w:t>59.2</w:t>
        </w:r>
      </w:hyperlink>
      <w:r>
        <w:t xml:space="preserve"> и </w:t>
      </w:r>
      <w:hyperlink r:id="rId22" w:history="1">
        <w:r>
          <w:t>59.3</w:t>
        </w:r>
      </w:hyperlink>
      <w:r>
        <w:t xml:space="preserve"> Федерального закона № 79-ФЗ показывает, что взыскания за правонарушения коррупционного характера, совершаемые гражданскими служащими, могут быть разделены в зависимости от их тяжести и обстоятельств совершения.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по мнению Федерального казначейства, при применении к гражданскому служащему взыскания следует полно и всесторонне учитывать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обязанностей.</w:t>
      </w:r>
    </w:p>
    <w:p w:rsidR="000F3C43" w:rsidRDefault="001D6E5E">
      <w:pPr>
        <w:pStyle w:val="ConsPlusNormal"/>
        <w:spacing w:line="360" w:lineRule="atLeast"/>
        <w:ind w:firstLine="540"/>
      </w:pPr>
      <w:r>
        <w:t xml:space="preserve">Так, к примеру, 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№ 79-ФЗ, Федеральным </w:t>
      </w:r>
      <w:hyperlink r:id="rId23" w:history="1">
        <w:r>
          <w:t>законом</w:t>
        </w:r>
      </w:hyperlink>
      <w:r>
        <w:t xml:space="preserve"> № 273-ФЗ и другими федеральными </w:t>
      </w:r>
      <w:hyperlink r:id="rId24" w:history="1">
        <w:r>
          <w:t>законами</w:t>
        </w:r>
      </w:hyperlink>
      <w:r>
        <w:t xml:space="preserve"> в соответствии с положениями статьи 59.1 Федерального закона № 79-ФЗ, были применены такие взыскания, как замечание, выговор: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разделе 1 справок за отчетный период отсутствуют сведения о доходе по счету в банке;</w:t>
      </w:r>
    </w:p>
    <w:p w:rsidR="000F3C43" w:rsidRDefault="001D6E5E">
      <w:pPr>
        <w:widowControl w:val="0"/>
        <w:autoSpaceDE w:val="0"/>
        <w:autoSpaceDN w:val="0"/>
        <w:adjustRightInd w:val="0"/>
        <w:spacing w:after="0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сведения об остатке денежных средств за отчетный период на счете не соответствуют фактическому остатку на отчетную дату на указанном счету, подтвержденному выпиской из банка;</w:t>
      </w:r>
    </w:p>
    <w:p w:rsidR="000F3C43" w:rsidRDefault="001D6E5E">
      <w:pPr>
        <w:widowControl w:val="0"/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разделе 3 справки отсутствовала информация об имеющемся кредитном счете;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3 «Сведения о денежных средствах, находящихся на счетах в банках и иных кредитных организациях» справки за 2011 год вместо номера счета указан номер банковской карты; </w:t>
      </w:r>
    </w:p>
    <w:p w:rsidR="000F3C43" w:rsidRDefault="001D6E5E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разделе 5 «Сведения об обязательствах имущественного характера» справок за 2011 и 2012 годы указана 1/5 часть (6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общей площади) квартиры, находящейся в безвозмездном пользовании, однако необходимо указывать общую площадь объекта недвижимого имущества;</w:t>
      </w:r>
    </w:p>
    <w:p w:rsidR="000F3C43" w:rsidRDefault="001D6E5E">
      <w:pPr>
        <w:ind w:firstLine="5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разделе 1 справки не указаны сведения о доходе от продажи автомобиля за 2013 год; </w:t>
      </w:r>
    </w:p>
    <w:p w:rsidR="000F3C43" w:rsidRDefault="001D6E5E">
      <w:pPr>
        <w:ind w:firstLine="5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заполнении справки о доходах супруги был занижен ее реальный доход по основному месту работы;</w:t>
      </w:r>
    </w:p>
    <w:p w:rsidR="000F3C43" w:rsidRDefault="001D6E5E">
      <w:pPr>
        <w:ind w:firstLine="539"/>
        <w:contextualSpacing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при заполнении справки о доходах на себя и супругу в разделе 2.1. гражданский служащий предоставил недостоверные сведения о наличии в долевой собственности 3-х комнатной квартиры (по регистрационным документам - 4-х комнатная) (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Апелляционное определение судебной коллегии по гражданским делам Санкт-Петербургского городского суда        от 19 августа 2014 года по делу № 33-11830/2014; Определение судебной коллегии по гражданским делам Приморского краевого суда от 22 июля 2014 года № 33-5868/2014;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Апелляционное определение судебной коллегии по гражданским делам Брянского областного суда от 25 марта 2014 года;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Апелляционное определение судебной коллегии по гражданским делам Верховного Суда Республики Башкортостан от 04 июня 2015 года по делу        № 33-9080/2015; Апелляционное определение судебной коллегии по гражданским делам Курганского областного суда от 15 января 2015 года по делу № 33-6/2015).</w:t>
      </w:r>
    </w:p>
    <w:p w:rsidR="000F3C43" w:rsidRDefault="001D6E5E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Также, например, Апелляционным определением судебной коллегии по гражданским делам Ставропольского краевого суда от 19 марта 2013 года         № 33-1327/13 решение первой инстанции оставлено без изменений, а апелляционная жалоба без удовлетворения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признания незаконным и отмены приказа о прекращении действия служебного контракта и об освобождении от должности и увольнении с государственной гражданской службы в связи с утратой представителем нанимателя доверия к гражданскому служащему в связи с </w:t>
      </w:r>
      <w:r>
        <w:rPr>
          <w:rFonts w:ascii="Times New Roman" w:hAnsi="Times New Roman" w:cs="Times New Roman"/>
          <w:sz w:val="28"/>
          <w:szCs w:val="28"/>
        </w:rPr>
        <w:t>непредставлением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F3C43" w:rsidRDefault="000F3C43">
      <w:pPr>
        <w:ind w:firstLine="5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C43" w:rsidRDefault="000F3C43">
      <w:pPr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F3C43" w:rsidRDefault="001D6E5E">
      <w:pPr>
        <w:tabs>
          <w:tab w:val="left" w:pos="832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3C43" w:rsidRDefault="000F3C43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</w:p>
    <w:p w:rsidR="000F3C43" w:rsidRDefault="000F3C4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0F3C43" w:rsidSect="00384CA2">
      <w:headerReference w:type="default" r:id="rId2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C43" w:rsidRDefault="001D6E5E">
      <w:pPr>
        <w:spacing w:after="0" w:line="240" w:lineRule="auto"/>
      </w:pPr>
      <w:r>
        <w:separator/>
      </w:r>
    </w:p>
  </w:endnote>
  <w:endnote w:type="continuationSeparator" w:id="0">
    <w:p w:rsidR="000F3C43" w:rsidRDefault="001D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C43" w:rsidRDefault="001D6E5E">
      <w:pPr>
        <w:spacing w:after="0" w:line="240" w:lineRule="auto"/>
      </w:pPr>
      <w:r>
        <w:separator/>
      </w:r>
    </w:p>
  </w:footnote>
  <w:footnote w:type="continuationSeparator" w:id="0">
    <w:p w:rsidR="000F3C43" w:rsidRDefault="001D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03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F3C43" w:rsidRDefault="001D6E5E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84CA2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F3C43" w:rsidRDefault="000F3C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94828"/>
    <w:multiLevelType w:val="multilevel"/>
    <w:tmpl w:val="D29A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5446B"/>
    <w:multiLevelType w:val="hybridMultilevel"/>
    <w:tmpl w:val="212CEAE4"/>
    <w:lvl w:ilvl="0" w:tplc="AE7EB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068B5"/>
    <w:multiLevelType w:val="hybridMultilevel"/>
    <w:tmpl w:val="E988A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038B9"/>
    <w:multiLevelType w:val="hybridMultilevel"/>
    <w:tmpl w:val="7898C2EE"/>
    <w:lvl w:ilvl="0" w:tplc="46BE3F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43"/>
    <w:rsid w:val="000F3C43"/>
    <w:rsid w:val="001D6E5E"/>
    <w:rsid w:val="0038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4CCA190-9BDA-4F59-A824-2CCD670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F"/>
      <w:kern w:val="3"/>
      <w:sz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D4B2988C98F1C56BCFBE2FBC8641EB159229F9E3FC89E62F59E6CE0B6102E6FF82D485Df8K" TargetMode="External"/><Relationship Id="rId13" Type="http://schemas.openxmlformats.org/officeDocument/2006/relationships/hyperlink" Target="consultantplus://offline/ref=5F0FF9F85674B2620291E41857280B8BF34DB540E38411FFE9E7C8119DE6Y7J" TargetMode="External"/><Relationship Id="rId18" Type="http://schemas.openxmlformats.org/officeDocument/2006/relationships/hyperlink" Target="consultantplus://offline/ref=E30ACEA26630312257E120325EE5AA2C04A5C7811302E6F273AEAFD1AEE3E8EC637C5CF36FWF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060311756238D9EEBBC670E968E79338F9FA6CE321B5A1662323C7E7B7FB678B01BB790FZ7M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36354.59303" TargetMode="External"/><Relationship Id="rId17" Type="http://schemas.openxmlformats.org/officeDocument/2006/relationships/hyperlink" Target="consultantplus://offline/ref=E30ACEA26630312257E120325EE5AA2C04A5C7811302E6F273AEAFD1AEE3E8EC637C5CF36FW2J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FDE7FE59830E014C015B360630844E98FD8A4E4EBF212678EE2282ECFBE6E2603A59C7u521J" TargetMode="External"/><Relationship Id="rId20" Type="http://schemas.openxmlformats.org/officeDocument/2006/relationships/hyperlink" Target="consultantplus://offline/ref=BF060311756238D9EEBBC670E968E79338F9FA6CE321B5A1662323C7E7B7FB678B01BB790FZ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FD7EA02B8ADD5F255E353239700CB9F0D4F81594F530A5B934F62C4395814EB671AF87uA71H" TargetMode="External"/><Relationship Id="rId24" Type="http://schemas.openxmlformats.org/officeDocument/2006/relationships/hyperlink" Target="consultantplus://offline/ref=6364D21BB3A937DB2DEDE381C7E7387A16DC0E9E12D79F5B211DE5E640a3V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FDE7FE59830E014C015B360630844E98FD8A4E4EBF212678EE2282ECFBE6E2603A59C7u52CJ" TargetMode="External"/><Relationship Id="rId23" Type="http://schemas.openxmlformats.org/officeDocument/2006/relationships/hyperlink" Target="consultantplus://offline/ref=6364D21BB3A937DB2DEDE381C7E7387A16DD029D13D59F5B211DE5E640a3V3P" TargetMode="External"/><Relationship Id="rId10" Type="http://schemas.openxmlformats.org/officeDocument/2006/relationships/hyperlink" Target="consultantplus://offline/ref=F9FD7EA02B8ADD5F255E353239700CB9F0D4F81594F530A5B934F62C4395814EB671AF87uA7CH" TargetMode="External"/><Relationship Id="rId19" Type="http://schemas.openxmlformats.org/officeDocument/2006/relationships/hyperlink" Target="consultantplus://offline/ref=FCF9AD5E73DA793DAEFD79EE4AEF301B5C582C64AB5BF06D8883371BFC63n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060311756238D9EEBBC670E968E79338F9FA6CE321B5A1662323C7E7B7FB678B01BB7A0FZ6M" TargetMode="External"/><Relationship Id="rId14" Type="http://schemas.openxmlformats.org/officeDocument/2006/relationships/hyperlink" Target="consultantplus://offline/ref=5F0FF9F85674B2620291E41857280B8BF34CB943E28611FFE9E7C8119DE6Y7J" TargetMode="External"/><Relationship Id="rId22" Type="http://schemas.openxmlformats.org/officeDocument/2006/relationships/hyperlink" Target="consultantplus://offline/ref=BF060311756238D9EEBBC670E968E79338F9FA6CE321B5A1662323C7E7B7FB678B01BB7A0FZ9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1C82-73BE-451D-B549-107AC112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Северенкова Марина Григорьевна</dc:creator>
  <cp:lastModifiedBy>Шеленкова Светлана Ивановна</cp:lastModifiedBy>
  <cp:revision>3</cp:revision>
  <cp:lastPrinted>2016-07-21T13:39:00Z</cp:lastPrinted>
  <dcterms:created xsi:type="dcterms:W3CDTF">2016-08-18T08:54:00Z</dcterms:created>
  <dcterms:modified xsi:type="dcterms:W3CDTF">2016-08-18T08:58:00Z</dcterms:modified>
</cp:coreProperties>
</file>